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ascii="方正小标宋简体" w:hAnsi="??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??" w:eastAsia="方正小标宋简体" w:cs="方正小标宋简体"/>
          <w:b/>
          <w:sz w:val="44"/>
          <w:szCs w:val="44"/>
        </w:rPr>
        <w:t>附件</w:t>
      </w:r>
      <w:r>
        <w:rPr>
          <w:rFonts w:ascii="方正小标宋简体" w:hAnsi="??" w:eastAsia="方正小标宋简体" w:cs="方正小标宋简体"/>
          <w:b/>
          <w:sz w:val="44"/>
          <w:szCs w:val="44"/>
        </w:rPr>
        <w:t>2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ascii="仿宋" w:hAnsi="仿宋" w:eastAsia="仿宋"/>
          <w:b/>
          <w:bCs/>
          <w:sz w:val="18"/>
          <w:szCs w:val="18"/>
        </w:rPr>
      </w:pPr>
      <w:r>
        <w:rPr>
          <w:rFonts w:hint="eastAsia" w:ascii="方正小标宋简体" w:hAnsi="??" w:eastAsia="方正小标宋简体" w:cs="方正小标宋简体"/>
          <w:b/>
          <w:sz w:val="44"/>
          <w:szCs w:val="44"/>
        </w:rPr>
        <w:t>项目支出绩效目标申报表</w:t>
      </w:r>
      <w:r>
        <w:rPr>
          <w:rFonts w:ascii="方正小标宋简体" w:hAnsi="??" w:eastAsia="方正小标宋简体"/>
          <w:b/>
          <w:sz w:val="44"/>
          <w:szCs w:val="44"/>
        </w:rPr>
        <w:br w:type="textWrapping"/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年度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）</w:t>
      </w:r>
    </w:p>
    <w:p>
      <w:pPr>
        <w:widowControl/>
        <w:spacing w:before="100" w:beforeAutospacing="1" w:after="100" w:afterAutospacing="1" w:line="600" w:lineRule="atLeast"/>
        <w:rPr>
          <w:rFonts w:ascii="仿宋_GB2312" w:hAnsi="??" w:eastAsia="仿宋_GB2312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填报单位（盖章）：市农业农村局</w:t>
      </w:r>
    </w:p>
    <w:tbl>
      <w:tblPr>
        <w:tblStyle w:val="6"/>
        <w:tblW w:w="94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618"/>
        <w:gridCol w:w="863"/>
        <w:gridCol w:w="922"/>
        <w:gridCol w:w="638"/>
        <w:gridCol w:w="1111"/>
        <w:gridCol w:w="135"/>
        <w:gridCol w:w="1236"/>
        <w:gridCol w:w="1110"/>
        <w:gridCol w:w="21"/>
        <w:gridCol w:w="119"/>
        <w:gridCol w:w="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项目名称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eastAsia="zh-CN"/>
              </w:rPr>
              <w:t>度昌都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市耕地土壤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***污染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>防治项目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项目属性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新增项目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延续项目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sym w:font="Wingdings 2" w:char="0052"/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主管部门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市农业农村局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主管部门编码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项目单位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市农业农村局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项目负责人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杨振林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13908956336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项目起止时间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3年11月</w:t>
            </w:r>
            <w:r>
              <w:rPr>
                <w:rFonts w:ascii="仿宋" w:hAnsi="仿宋" w:eastAsia="仿宋" w:cs="??"/>
                <w:sz w:val="24"/>
                <w:szCs w:val="24"/>
              </w:rPr>
              <w:t>—202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 xml:space="preserve">11月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项目资金申请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（万元）</w:t>
            </w: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2021-2023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合计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中央财政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省级补助资金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市级配套资金资金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??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3年度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单位职能概述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指导农用地、农业生物物种资源及农产品产地环境保护和管理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项目概况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对受污染耕地开展污染现状调查评估和污染来源解析，针对性地提出治理和修复方案，制定受污染耕地安全利用方案，采取相关措施降低农产品超标风险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，通过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2021-2023年度示范建设，形成昌都市安全利用全面推进区建设方案，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2021-2023年度项目进行终审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项目立项情况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项目立项的依据</w:t>
            </w:r>
          </w:p>
        </w:tc>
        <w:tc>
          <w:tcPr>
            <w:tcW w:w="603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《中华人民共和国土壤污染防治法》、《农业部关于贯彻落实〈土壤污染防治行动计划〉的实施意见》（农科教发〔</w:t>
            </w:r>
            <w:r>
              <w:rPr>
                <w:rFonts w:ascii="仿宋" w:hAnsi="仿宋" w:eastAsia="仿宋" w:cs="宋体"/>
                <w:sz w:val="24"/>
                <w:szCs w:val="24"/>
              </w:rPr>
              <w:t>2017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〕</w:t>
            </w: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号）、《农业农村部办公厅、生态环境部办公厅〈关于进一步做好受污染耕地安全利用工作〉的通知》（农办科〔2019〕13号）、《西藏自治区人民政府关于印发〈西藏自治区土壤污染防治行动计划工作方案〉的通知》（藏政发〔2017〕6号）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《西藏自治区农业农村厅 生态环境厅关于印发〈西藏自治区202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年受污染耕地安全利用工作方案〉的通知》（藏农厅发〔202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148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号）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《西藏自治区2022年耕地安全利用工作计划》（藏农厅函〔2022〕25号）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项目申报的可行性</w:t>
            </w:r>
          </w:p>
        </w:tc>
        <w:tc>
          <w:tcPr>
            <w:tcW w:w="603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①有政策法规可依。国家颁布了《中华人民共和国土壤污染防治法》，制定了《农用地土壤环境管理办法（试行）》，印发了贯彻落实“土十条”等，明确了耕地土壤</w:t>
            </w:r>
            <w:r>
              <w:rPr>
                <w:rFonts w:hint="default" w:ascii="仿宋" w:hAnsi="仿宋" w:eastAsia="仿宋" w:cs="宋体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防治的目标任务和实施路径，统筹推进耕地污染防治工作。农业农村部专门印发了《轻中度污染耕地安全利用与治理修复推荐技术名录》，制定了《受污染耕地治理与修复导则》、《耕地污染治理效果评价准则》等一批行业标准，推进耕地</w:t>
            </w:r>
            <w:r>
              <w:rPr>
                <w:rFonts w:hint="default" w:ascii="仿宋" w:hAnsi="仿宋" w:eastAsia="仿宋" w:cs="宋体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防治标准化、科学化。②有部门协作保障。自治区生态环境厅、农业农村厅及市局生态环境局、农业农村局构建了农用地土壤污染防治磋商机制，明确了部门间磋商的内容、形式、人员等，建立了分工负责、密切协作的工作机制，齐抓共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，稳步开展耕地</w:t>
            </w:r>
            <w:r>
              <w:rPr>
                <w:rFonts w:hint="default" w:ascii="仿宋" w:hAnsi="仿宋" w:eastAsia="仿宋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防治工作。③ 2006年，西藏自治区完成土壤污染状况调查，编制了《西藏自治区土壤污染状况调查报告》，基本上查明了耕地</w:t>
            </w:r>
            <w:r>
              <w:rPr>
                <w:rFonts w:hint="default" w:ascii="仿宋" w:hAnsi="仿宋" w:eastAsia="仿宋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污染状况及特征。2013年，农牧部门组织开展了西藏自治区农产品产地土壤</w:t>
            </w:r>
            <w:r>
              <w:rPr>
                <w:rFonts w:hint="default" w:ascii="仿宋" w:hAnsi="仿宋" w:eastAsia="仿宋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污染调查专项，初步确定全县耕地土壤</w:t>
            </w:r>
            <w:r>
              <w:rPr>
                <w:rFonts w:hint="default" w:ascii="仿宋" w:hAnsi="仿宋" w:eastAsia="仿宋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风险分布情况，已初步建立了耕地土壤环境监测制度。2020年我市按照《农用地土壤环境质量类别划分技术指南》要求，在农用地土壤污染状况详查的基础上，完成了土壤环境质量类别划分工作，摸清了污染风险底数，明确了耕地</w:t>
            </w:r>
            <w:r>
              <w:rPr>
                <w:rFonts w:hint="default" w:ascii="仿宋" w:hAnsi="仿宋" w:eastAsia="仿宋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防治任务重点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。同时，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2021年度昌都市度耕地土壤***防治项目正有序开展，目前正准备开展项目终验评审。2022年度项目正准备开展邀请投标。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项目申报的必要性</w:t>
            </w:r>
          </w:p>
        </w:tc>
        <w:tc>
          <w:tcPr>
            <w:tcW w:w="603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历年来，党中央、国务院高度重视土壤污染防治工作，2016年，国务院印发《土壤污染防治行动计划》，对我国今后一段时期土壤污染防治工作提出部署和要求。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t>受污染耕地安全利用是土壤污染防治攻坚战的核心任务，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开展实施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耕地土壤</w:t>
            </w:r>
            <w:r>
              <w:rPr>
                <w:rFonts w:hint="default" w:ascii="仿宋" w:hAnsi="仿宋" w:eastAsia="仿宋" w:cs="宋体"/>
                <w:sz w:val="24"/>
                <w:szCs w:val="24"/>
                <w:lang w:val="en"/>
              </w:rPr>
              <w:t>zjs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防治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项目，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t>是保障农产品质量安全和人民群众身体健康的重要举措，也是加强耕地质量建设，改善生态环境，实施藏粮于地战略的必然要求，同时将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提高农牧业综合生产能力，促进农牧业产业结构战略性调整，增加农牧民收入，改善农牧民生产生活条件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。且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2021年度-2023年度项目具有连续性，2023年度项目是在2021年度、2022年度项目完成终验后逐步开展。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项目实施进度计划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项目实施内容</w:t>
            </w:r>
          </w:p>
        </w:tc>
        <w:tc>
          <w:tcPr>
            <w:tcW w:w="36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开始时间</w:t>
            </w:r>
          </w:p>
        </w:tc>
        <w:tc>
          <w:tcPr>
            <w:tcW w:w="23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完成时间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hint="eastAsia" w:ascii="仿宋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建立耕地安全利用集中推进示范区、开展安全利用技术跟踪监测及效果评估，同时开展耕地土壤污染防治培训班，持续建设和储备昌都市耕地土壤污染防治人才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形成昌都市安全利用全面推进区建设方案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36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ascii="仿宋" w:hAnsi="仿宋" w:eastAsia="仿宋" w:cs="宋体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3年11月</w:t>
            </w:r>
          </w:p>
        </w:tc>
        <w:tc>
          <w:tcPr>
            <w:tcW w:w="23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ascii="仿宋" w:hAnsi="仿宋" w:eastAsia="仿宋" w:cs="宋体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项目绩效目标</w:t>
            </w:r>
          </w:p>
        </w:tc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长期目标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年度目标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spacing w:before="0" w:beforeAutospacing="0" w:after="0" w:afterAutospacing="0" w:line="600" w:lineRule="exact"/>
              <w:textAlignment w:val="baseline"/>
              <w:rPr>
                <w:rFonts w:ascii="仿宋" w:hAnsi="仿宋" w:eastAsia="仿宋" w:cs="Times New Roman"/>
                <w:snapToGrid w:val="0"/>
                <w:shd w:val="clear" w:color="auto" w:fill="FFFFFF"/>
              </w:rPr>
            </w:pPr>
            <w:r>
              <w:rPr>
                <w:rFonts w:hint="eastAsia" w:ascii="仿宋" w:hAnsi="仿宋" w:eastAsia="仿宋"/>
                <w:snapToGrid w:val="0"/>
                <w:shd w:val="clear" w:color="auto" w:fill="FFFFFF"/>
              </w:rPr>
              <w:t>掌握全市耕地质量动态，采取相关措施降低农产品超标风险并形成技术示范，保障粮食安全</w:t>
            </w:r>
            <w:r>
              <w:rPr>
                <w:rFonts w:hint="eastAsia" w:ascii="仿宋" w:hAnsi="仿宋" w:eastAsia="仿宋"/>
                <w:snapToGrid w:val="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形成昌都市安全利用全面推进区建设方案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，对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2021-2023年度项目进行终审</w:t>
            </w:r>
            <w:r>
              <w:rPr>
                <w:rFonts w:hint="eastAsia" w:ascii="仿宋" w:hAnsi="仿宋" w:eastAsia="仿宋"/>
                <w:snapToGrid w:val="0"/>
                <w:shd w:val="clear" w:color="auto" w:fill="FFFFFF"/>
              </w:rPr>
              <w:t>。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  <w:lang w:val="en-US" w:eastAsia="zh-CN"/>
              </w:rPr>
              <w:t>4个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耕地安全利用集中推进示范区、开展安全利用技术跟踪监测及效果评估，同时开展耕地土壤污染防治培训班，持续建设和储备昌都市耕地土壤污染防治人才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形成昌都市安全利用全面推进区建设方案。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长期绩效指标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一级指标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二级指标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指标内容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指标值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产出指标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_GB2312" w:cs="??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个耕地安全利用的联合攻关技术示范区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个800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亩耕地安全利用的集中推进示范区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质量指标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按照国家和地方标准执行相应质控措施，制定</w:t>
            </w: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t>方案和措施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t>监测数据有效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时效指标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按照项目实施方案实时开展，工作资料详实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成本指标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各项目对应的实施成本在预算范围内合理使用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预算合理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效益指标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项目实施能够有效评估耕地质量污染程度，能够提出促进当地农业经济发展建议和措施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长期有效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项目实施能够推进当地人们耕地保护意识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生态效益指标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项目实施能够有效掌握区域耕地污染变化趋势、评估区域耕地污染程度，局部污染得到有效控制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长期有效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可持续影响指标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_GB2312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ascii="仿宋" w:hAnsi="仿宋" w:eastAsia="仿宋" w:cs="宋体"/>
                <w:sz w:val="24"/>
                <w:szCs w:val="24"/>
              </w:rPr>
              <w:t>受污染耕地污染得到一定遏制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形成昌都市安全利用全面推进区建设方案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加强成果转化和推广应用。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长期有效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社会公众或服务对象满意度指标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农牧民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对粮食安全、耕地环境质量认可度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年度绩效指标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一级指标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二级指标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指标内容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指标值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产出指标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个耕地安全利用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集中推进示范区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??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质量指标</w:t>
            </w:r>
            <w:bookmarkStart w:id="0" w:name="_GoBack"/>
            <w:bookmarkEnd w:id="0"/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按照国家和地方标准执行相应质控措施，制定全面推进区建设和措施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t>监测数据有效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时效指标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按照项目实施方案实时开展，工作资料详实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成本指标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各项目对应的实施成本在预算范围内合理使用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预算合理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效益指标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项目实施能够有效评估耕地质量污染程度，能够提出促进当地农业经济发展建议和措施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长期有效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项目实施能够推进当地人们耕地保护意识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生态效益指标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项目实施能够有效掌握区域耕地污染变化趋势、评估区域耕地污染程度，局部污染得到有效控制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  <w:highlight w:val="red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长期有效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可持续影响指标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_GB2312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ascii="仿宋" w:hAnsi="仿宋" w:eastAsia="仿宋" w:cs="宋体"/>
                <w:sz w:val="24"/>
                <w:szCs w:val="24"/>
              </w:rPr>
              <w:t>受污染耕地污染得到一定遏制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形成昌都市安全利用全面推进区建设方案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加强成果转化和推广应用。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  <w:highlight w:val="red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长期有效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社会公众或服务对象满意度指标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农牧民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对粮食安全、耕地环境质量认可度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  <w:highlight w:val="red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其他需说明的问题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预算部门审核意见</w:t>
            </w:r>
          </w:p>
        </w:tc>
        <w:tc>
          <w:tcPr>
            <w:tcW w:w="7654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                                                   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（盖章）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                                               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765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18"/>
    <w:rsid w:val="00026BF0"/>
    <w:rsid w:val="000512BF"/>
    <w:rsid w:val="00071321"/>
    <w:rsid w:val="000A5EAA"/>
    <w:rsid w:val="00156C9C"/>
    <w:rsid w:val="00175F05"/>
    <w:rsid w:val="001823EC"/>
    <w:rsid w:val="001A7E82"/>
    <w:rsid w:val="002113F1"/>
    <w:rsid w:val="00241C52"/>
    <w:rsid w:val="00243AB6"/>
    <w:rsid w:val="00270EEF"/>
    <w:rsid w:val="00271977"/>
    <w:rsid w:val="00282C2B"/>
    <w:rsid w:val="0028703D"/>
    <w:rsid w:val="00331D98"/>
    <w:rsid w:val="00352838"/>
    <w:rsid w:val="003779BB"/>
    <w:rsid w:val="003F33C0"/>
    <w:rsid w:val="00451BE7"/>
    <w:rsid w:val="0045665C"/>
    <w:rsid w:val="00485CFF"/>
    <w:rsid w:val="00492AFE"/>
    <w:rsid w:val="004A4237"/>
    <w:rsid w:val="004D0436"/>
    <w:rsid w:val="004D2205"/>
    <w:rsid w:val="004D7AB3"/>
    <w:rsid w:val="00516F30"/>
    <w:rsid w:val="005466AA"/>
    <w:rsid w:val="00584538"/>
    <w:rsid w:val="005A46D0"/>
    <w:rsid w:val="005F33A2"/>
    <w:rsid w:val="0060250F"/>
    <w:rsid w:val="00611B18"/>
    <w:rsid w:val="006C37F3"/>
    <w:rsid w:val="006F4F80"/>
    <w:rsid w:val="006F7FC4"/>
    <w:rsid w:val="007154B7"/>
    <w:rsid w:val="007519F3"/>
    <w:rsid w:val="007558F0"/>
    <w:rsid w:val="00766380"/>
    <w:rsid w:val="007B0CB7"/>
    <w:rsid w:val="007F0888"/>
    <w:rsid w:val="008643CE"/>
    <w:rsid w:val="008A78B5"/>
    <w:rsid w:val="008C260C"/>
    <w:rsid w:val="008D63C6"/>
    <w:rsid w:val="00954127"/>
    <w:rsid w:val="009750AF"/>
    <w:rsid w:val="00987960"/>
    <w:rsid w:val="009E2688"/>
    <w:rsid w:val="009F2D10"/>
    <w:rsid w:val="00A0111B"/>
    <w:rsid w:val="00A10A2F"/>
    <w:rsid w:val="00A51F68"/>
    <w:rsid w:val="00AB67C0"/>
    <w:rsid w:val="00AD16B5"/>
    <w:rsid w:val="00AD5359"/>
    <w:rsid w:val="00B33D38"/>
    <w:rsid w:val="00B45251"/>
    <w:rsid w:val="00BE36EB"/>
    <w:rsid w:val="00C179B4"/>
    <w:rsid w:val="00C30635"/>
    <w:rsid w:val="00C608EC"/>
    <w:rsid w:val="00C819D9"/>
    <w:rsid w:val="00C94BDE"/>
    <w:rsid w:val="00CA0443"/>
    <w:rsid w:val="00CC22D3"/>
    <w:rsid w:val="00CE28B5"/>
    <w:rsid w:val="00D006DD"/>
    <w:rsid w:val="00D20A5A"/>
    <w:rsid w:val="00DC19DA"/>
    <w:rsid w:val="00DD0028"/>
    <w:rsid w:val="00DE08AC"/>
    <w:rsid w:val="00DF0873"/>
    <w:rsid w:val="00DF2CFA"/>
    <w:rsid w:val="00E15A32"/>
    <w:rsid w:val="00E20612"/>
    <w:rsid w:val="00E231F1"/>
    <w:rsid w:val="00E517B8"/>
    <w:rsid w:val="00E818D5"/>
    <w:rsid w:val="00EF6F9E"/>
    <w:rsid w:val="00F06C51"/>
    <w:rsid w:val="00F17698"/>
    <w:rsid w:val="00F441F9"/>
    <w:rsid w:val="00F746FA"/>
    <w:rsid w:val="00F92CEC"/>
    <w:rsid w:val="064D27E2"/>
    <w:rsid w:val="084D29AE"/>
    <w:rsid w:val="0F672ED9"/>
    <w:rsid w:val="22FFCEEB"/>
    <w:rsid w:val="2EC711A5"/>
    <w:rsid w:val="31431148"/>
    <w:rsid w:val="35120641"/>
    <w:rsid w:val="3FFFFD18"/>
    <w:rsid w:val="49BD7C34"/>
    <w:rsid w:val="4A1F4592"/>
    <w:rsid w:val="5DDFBDDC"/>
    <w:rsid w:val="6FBD2E96"/>
    <w:rsid w:val="7AE7959B"/>
    <w:rsid w:val="7D722100"/>
    <w:rsid w:val="7EFB05EC"/>
    <w:rsid w:val="A7F7E5DD"/>
    <w:rsid w:val="B3AEBCAE"/>
    <w:rsid w:val="BBEFE7E1"/>
    <w:rsid w:val="BDFF7BF7"/>
    <w:rsid w:val="BFE9584C"/>
    <w:rsid w:val="D5E6D9E7"/>
    <w:rsid w:val="FD7FAB38"/>
    <w:rsid w:val="FDD81EF7"/>
    <w:rsid w:val="FF9F26F3"/>
    <w:rsid w:val="FFFB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711</Words>
  <Characters>4053</Characters>
  <Lines>33</Lines>
  <Paragraphs>9</Paragraphs>
  <TotalTime>41</TotalTime>
  <ScaleCrop>false</ScaleCrop>
  <LinksUpToDate>false</LinksUpToDate>
  <CharactersWithSpaces>4755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2020-01-04T17:38:00Z</dcterms:created>
  <dc:creator>Administrator</dc:creator>
  <cp:lastModifiedBy>user</cp:lastModifiedBy>
  <cp:lastPrinted>2022-11-10T17:08:51Z</cp:lastPrinted>
  <dcterms:modified xsi:type="dcterms:W3CDTF">2022-11-10T17:10:24Z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F4BBBBB7B3BC4D2563E26463343EEF29</vt:lpwstr>
  </property>
</Properties>
</file>