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F192C">
      <w:pPr>
        <w:rPr>
          <w:rFonts w:ascii="Times New Roman" w:hAnsi="Times New Roman" w:eastAsia="方正小标宋简体" w:cs="Times New Roman"/>
          <w:spacing w:val="-20"/>
          <w:sz w:val="32"/>
          <w:szCs w:val="32"/>
        </w:rPr>
      </w:pPr>
      <w:r>
        <w:rPr>
          <w:rFonts w:hint="eastAsia" w:ascii="仿宋_GB2312" w:hAnsi="仿宋_GB2312" w:eastAsia="仿宋_GB2312" w:cs="仿宋_GB2312"/>
          <w:spacing w:val="-20"/>
          <w:sz w:val="32"/>
          <w:szCs w:val="32"/>
          <w:lang w:eastAsia="zh-CN"/>
        </w:rPr>
        <w:t>（昌政办发〔</w:t>
      </w:r>
      <w:r>
        <w:rPr>
          <w:rFonts w:hint="eastAsia" w:ascii="仿宋_GB2312" w:hAnsi="仿宋_GB2312" w:eastAsia="仿宋_GB2312" w:cs="仿宋_GB2312"/>
          <w:spacing w:val="-20"/>
          <w:sz w:val="32"/>
          <w:szCs w:val="32"/>
          <w:lang w:val="en-US" w:eastAsia="zh-CN"/>
        </w:rPr>
        <w:t>2023</w:t>
      </w:r>
      <w:r>
        <w:rPr>
          <w:rFonts w:hint="eastAsia" w:ascii="仿宋_GB2312" w:hAnsi="仿宋_GB2312" w:eastAsia="仿宋_GB2312" w:cs="仿宋_GB2312"/>
          <w:spacing w:val="-20"/>
          <w:sz w:val="32"/>
          <w:szCs w:val="32"/>
          <w:lang w:eastAsia="zh-CN"/>
        </w:rPr>
        <w:t>〕</w:t>
      </w:r>
      <w:r>
        <w:rPr>
          <w:rFonts w:hint="eastAsia" w:ascii="仿宋_GB2312" w:hAnsi="仿宋_GB2312" w:eastAsia="仿宋_GB2312" w:cs="仿宋_GB2312"/>
          <w:spacing w:val="-20"/>
          <w:sz w:val="32"/>
          <w:szCs w:val="32"/>
          <w:lang w:val="en-US" w:eastAsia="zh-CN"/>
        </w:rPr>
        <w:t>24号</w:t>
      </w:r>
      <w:r>
        <w:rPr>
          <w:rFonts w:hint="eastAsia" w:ascii="仿宋_GB2312" w:hAnsi="仿宋_GB2312" w:eastAsia="仿宋_GB2312" w:cs="仿宋_GB2312"/>
          <w:spacing w:val="-20"/>
          <w:sz w:val="32"/>
          <w:szCs w:val="32"/>
          <w:lang w:eastAsia="zh-CN"/>
        </w:rPr>
        <w:t>）</w:t>
      </w:r>
    </w:p>
    <w:p w14:paraId="33366E5F">
      <w:pPr>
        <w:jc w:val="center"/>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spacing w:val="-20"/>
          <w:sz w:val="72"/>
          <w:szCs w:val="72"/>
        </w:rPr>
        <w:t>西藏自治区昌都市“十四五”</w:t>
      </w:r>
    </w:p>
    <w:p w14:paraId="5AB4C5D8">
      <w:pPr>
        <w:jc w:val="center"/>
        <w:rPr>
          <w:rFonts w:ascii="Times New Roman" w:hAnsi="Times New Roman" w:eastAsia="楷体_GB2312" w:cs="Times New Roman"/>
          <w:b/>
          <w:bCs/>
          <w:sz w:val="84"/>
          <w:szCs w:val="84"/>
        </w:rPr>
      </w:pPr>
      <w:r>
        <w:rPr>
          <w:rFonts w:ascii="Times New Roman" w:hAnsi="Times New Roman" w:eastAsia="楷体_GB2312" w:cs="Times New Roman"/>
          <w:b/>
          <w:bCs/>
          <w:sz w:val="84"/>
          <w:szCs w:val="84"/>
        </w:rPr>
        <w:t>水</w:t>
      </w:r>
    </w:p>
    <w:p w14:paraId="240338DE">
      <w:pPr>
        <w:jc w:val="center"/>
        <w:rPr>
          <w:rFonts w:ascii="Times New Roman" w:hAnsi="Times New Roman" w:eastAsia="楷体_GB2312" w:cs="Times New Roman"/>
          <w:b/>
          <w:bCs/>
          <w:sz w:val="84"/>
          <w:szCs w:val="84"/>
        </w:rPr>
      </w:pPr>
      <w:r>
        <w:rPr>
          <w:rFonts w:ascii="Times New Roman" w:hAnsi="Times New Roman" w:eastAsia="楷体_GB2312" w:cs="Times New Roman"/>
          <w:b/>
          <w:bCs/>
          <w:sz w:val="84"/>
          <w:szCs w:val="84"/>
        </w:rPr>
        <w:t>安</w:t>
      </w:r>
    </w:p>
    <w:p w14:paraId="27CDF76E">
      <w:pPr>
        <w:jc w:val="center"/>
        <w:rPr>
          <w:rFonts w:ascii="Times New Roman" w:hAnsi="Times New Roman" w:eastAsia="楷体_GB2312" w:cs="Times New Roman"/>
          <w:b/>
          <w:bCs/>
          <w:sz w:val="84"/>
          <w:szCs w:val="84"/>
        </w:rPr>
      </w:pPr>
      <w:r>
        <w:rPr>
          <w:rFonts w:ascii="Times New Roman" w:hAnsi="Times New Roman" w:eastAsia="楷体_GB2312" w:cs="Times New Roman"/>
          <w:b/>
          <w:bCs/>
          <w:sz w:val="84"/>
          <w:szCs w:val="84"/>
        </w:rPr>
        <w:t>全</w:t>
      </w:r>
    </w:p>
    <w:p w14:paraId="23EA2A13">
      <w:pPr>
        <w:jc w:val="center"/>
        <w:rPr>
          <w:rFonts w:ascii="Times New Roman" w:hAnsi="Times New Roman" w:eastAsia="楷体_GB2312" w:cs="Times New Roman"/>
          <w:b/>
          <w:bCs/>
          <w:sz w:val="84"/>
          <w:szCs w:val="84"/>
        </w:rPr>
      </w:pPr>
      <w:r>
        <w:rPr>
          <w:rFonts w:ascii="Times New Roman" w:hAnsi="Times New Roman" w:eastAsia="楷体_GB2312" w:cs="Times New Roman"/>
          <w:b/>
          <w:bCs/>
          <w:sz w:val="84"/>
          <w:szCs w:val="84"/>
        </w:rPr>
        <w:t>保</w:t>
      </w:r>
    </w:p>
    <w:p w14:paraId="50A4C8BA">
      <w:pPr>
        <w:jc w:val="center"/>
        <w:rPr>
          <w:rFonts w:ascii="Times New Roman" w:hAnsi="Times New Roman" w:eastAsia="楷体_GB2312" w:cs="Times New Roman"/>
          <w:b/>
          <w:bCs/>
          <w:sz w:val="84"/>
          <w:szCs w:val="84"/>
        </w:rPr>
      </w:pPr>
      <w:r>
        <w:rPr>
          <w:rFonts w:ascii="Times New Roman" w:hAnsi="Times New Roman" w:eastAsia="楷体_GB2312" w:cs="Times New Roman"/>
          <w:b/>
          <w:bCs/>
          <w:sz w:val="84"/>
          <w:szCs w:val="84"/>
        </w:rPr>
        <w:t>障</w:t>
      </w:r>
    </w:p>
    <w:p w14:paraId="6099E595">
      <w:pPr>
        <w:jc w:val="center"/>
        <w:rPr>
          <w:rFonts w:ascii="Times New Roman" w:hAnsi="Times New Roman" w:eastAsia="楷体_GB2312" w:cs="Times New Roman"/>
          <w:b/>
          <w:bCs/>
          <w:sz w:val="84"/>
          <w:szCs w:val="84"/>
        </w:rPr>
      </w:pPr>
      <w:r>
        <w:rPr>
          <w:rFonts w:ascii="Times New Roman" w:hAnsi="Times New Roman" w:eastAsia="楷体_GB2312" w:cs="Times New Roman"/>
          <w:b/>
          <w:bCs/>
          <w:sz w:val="84"/>
          <w:szCs w:val="84"/>
        </w:rPr>
        <w:t>规</w:t>
      </w:r>
    </w:p>
    <w:p w14:paraId="65A1D9F9">
      <w:pPr>
        <w:jc w:val="center"/>
        <w:rPr>
          <w:rFonts w:ascii="Times New Roman" w:hAnsi="Times New Roman" w:eastAsia="楷体_GB2312" w:cs="Times New Roman"/>
          <w:b/>
          <w:bCs/>
          <w:sz w:val="84"/>
          <w:szCs w:val="84"/>
        </w:rPr>
      </w:pPr>
      <w:r>
        <w:rPr>
          <w:rFonts w:ascii="Times New Roman" w:hAnsi="Times New Roman" w:eastAsia="楷体_GB2312" w:cs="Times New Roman"/>
          <w:b/>
          <w:bCs/>
          <w:sz w:val="84"/>
          <w:szCs w:val="84"/>
        </w:rPr>
        <w:t>划</w:t>
      </w:r>
    </w:p>
    <w:p w14:paraId="3858369B">
      <w:pPr>
        <w:jc w:val="center"/>
        <w:rPr>
          <w:rFonts w:ascii="Times New Roman" w:hAnsi="Times New Roman" w:eastAsia="黑体" w:cs="Times New Roman"/>
          <w:sz w:val="32"/>
          <w:szCs w:val="32"/>
        </w:rPr>
      </w:pPr>
      <w:r>
        <w:rPr>
          <w:rFonts w:ascii="Times New Roman" w:hAnsi="Times New Roman" w:eastAsia="黑体" w:cs="Times New Roman"/>
          <w:sz w:val="32"/>
          <w:szCs w:val="32"/>
        </w:rPr>
        <w:t>西藏昌都市水利局</w:t>
      </w:r>
    </w:p>
    <w:p w14:paraId="3A5F4E53">
      <w:pPr>
        <w:jc w:val="center"/>
        <w:rPr>
          <w:rFonts w:ascii="Times New Roman" w:hAnsi="Times New Roman" w:eastAsia="黑体" w:cs="Times New Roman"/>
          <w:sz w:val="32"/>
          <w:szCs w:val="32"/>
        </w:rPr>
        <w:sectPr>
          <w:footerReference r:id="rId3" w:type="default"/>
          <w:pgSz w:w="11906" w:h="16838"/>
          <w:pgMar w:top="2098" w:right="1474" w:bottom="1984" w:left="1587" w:header="851" w:footer="1417" w:gutter="0"/>
          <w:pgNumType w:fmt="decimal" w:start="1"/>
          <w:cols w:space="0" w:num="1"/>
          <w:rtlGutter w:val="0"/>
          <w:docGrid w:type="lines" w:linePitch="312" w:charSpace="0"/>
        </w:sectPr>
      </w:pPr>
      <w:r>
        <w:rPr>
          <w:rFonts w:ascii="Times New Roman" w:hAnsi="Times New Roman" w:eastAsia="黑体" w:cs="Times New Roman"/>
          <w:sz w:val="32"/>
          <w:szCs w:val="32"/>
        </w:rPr>
        <w:t>202</w:t>
      </w:r>
      <w:r>
        <w:rPr>
          <w:rFonts w:hint="eastAsia" w:ascii="Times New Roman" w:hAnsi="Times New Roman" w:eastAsia="黑体" w:cs="Times New Roman"/>
          <w:sz w:val="32"/>
          <w:szCs w:val="32"/>
          <w:lang w:val="en-US" w:eastAsia="zh-CN"/>
        </w:rPr>
        <w:t>3</w:t>
      </w:r>
      <w:r>
        <w:rPr>
          <w:rFonts w:ascii="Times New Roman" w:hAnsi="Times New Roman" w:eastAsia="黑体" w:cs="Times New Roman"/>
          <w:sz w:val="32"/>
          <w:szCs w:val="32"/>
        </w:rPr>
        <w:t>年</w:t>
      </w:r>
      <w:r>
        <w:rPr>
          <w:rFonts w:hint="eastAsia" w:ascii="Times New Roman" w:hAnsi="Times New Roman" w:eastAsia="黑体" w:cs="Times New Roman"/>
          <w:sz w:val="32"/>
          <w:szCs w:val="32"/>
          <w:lang w:val="en-US" w:eastAsia="zh-CN"/>
        </w:rPr>
        <w:t>5</w:t>
      </w:r>
      <w:r>
        <w:rPr>
          <w:rFonts w:ascii="Times New Roman" w:hAnsi="Times New Roman" w:eastAsia="黑体" w:cs="Times New Roman"/>
          <w:sz w:val="32"/>
          <w:szCs w:val="32"/>
        </w:rPr>
        <w:t>月</w:t>
      </w:r>
    </w:p>
    <w:p w14:paraId="4C0DC1E5">
      <w:pPr>
        <w:keepNext w:val="0"/>
        <w:keepLines w:val="0"/>
        <w:pageBreakBefore w:val="0"/>
        <w:widowControl w:val="0"/>
        <w:kinsoku/>
        <w:wordWrap/>
        <w:overflowPunct/>
        <w:topLinePunct w:val="0"/>
        <w:autoSpaceDE/>
        <w:autoSpaceDN/>
        <w:bidi w:val="0"/>
        <w:spacing w:line="576" w:lineRule="exact"/>
        <w:jc w:val="center"/>
        <w:textAlignment w:val="auto"/>
        <w:rPr>
          <w:rFonts w:ascii="Times New Roman" w:hAnsi="Times New Roman" w:eastAsia="黑体" w:cs="Times New Roman"/>
          <w:sz w:val="32"/>
          <w:szCs w:val="32"/>
        </w:rPr>
      </w:pPr>
      <w:r>
        <w:rPr>
          <w:rFonts w:ascii="Times New Roman" w:hAnsi="Times New Roman" w:eastAsia="黑体" w:cs="Times New Roman"/>
          <w:sz w:val="32"/>
          <w:szCs w:val="32"/>
        </w:rPr>
        <w:t>前  言</w:t>
      </w:r>
    </w:p>
    <w:p w14:paraId="6AFE508B">
      <w:pPr>
        <w:pStyle w:val="27"/>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特定的自然地理气候条件决定了昌都水资源时空分布不均、水旱灾害频发，加之水利家底薄等原因，</w:t>
      </w:r>
      <w:r>
        <w:rPr>
          <w:rFonts w:hint="eastAsia" w:ascii="仿宋_GB2312" w:hAnsi="仿宋_GB2312" w:eastAsia="仿宋_GB2312" w:cs="仿宋_GB2312"/>
          <w:color w:val="auto"/>
          <w:lang w:val="en-US" w:eastAsia="zh-CN"/>
        </w:rPr>
        <w:t>昌都</w:t>
      </w:r>
      <w:r>
        <w:rPr>
          <w:rFonts w:hint="eastAsia" w:ascii="仿宋_GB2312" w:hAnsi="仿宋_GB2312" w:eastAsia="仿宋_GB2312" w:cs="仿宋_GB2312"/>
          <w:color w:val="auto"/>
        </w:rPr>
        <w:t>水利还存在许多薄弱环节，节水型社会建设仍需不断深化，防洪减灾体系仍不够完善，供水安全保障能力、水生态安全保障能力以及水利信息化水平有待进一步提升，水利管理和改革工作仍需加强，新老水问题相互交织，对昌都水安全保障工作提出了新的挑战。</w:t>
      </w:r>
    </w:p>
    <w:p w14:paraId="5586CDC4">
      <w:pPr>
        <w:pStyle w:val="27"/>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rPr>
        <w:t>党的十八大以来，以习近平</w:t>
      </w:r>
      <w:r>
        <w:rPr>
          <w:rFonts w:hint="eastAsia" w:ascii="仿宋_GB2312" w:hAnsi="仿宋_GB2312" w:eastAsia="仿宋_GB2312" w:cs="仿宋_GB2312"/>
          <w:lang w:eastAsia="zh-CN"/>
        </w:rPr>
        <w:t>同志</w:t>
      </w:r>
      <w:r>
        <w:rPr>
          <w:rFonts w:hint="eastAsia" w:ascii="仿宋_GB2312" w:hAnsi="仿宋_GB2312" w:eastAsia="仿宋_GB2312" w:cs="仿宋_GB2312"/>
        </w:rPr>
        <w:t>为核心的党中央高度重视西藏工作，明确提出了“治国必治边、治边先稳藏”的战略思想。习近平总书记指出：“保障水安全，关键要转变治水思路”。“十三五”时期，在市委、市政府正确领导下，全市上下全面贯彻落实习近平总书记</w:t>
      </w:r>
      <w:r>
        <w:rPr>
          <w:rFonts w:hint="eastAsia" w:ascii="仿宋_GB2312" w:hAnsi="仿宋_GB2312" w:eastAsia="仿宋_GB2312" w:cs="仿宋_GB2312"/>
          <w:lang w:eastAsia="zh-CN"/>
        </w:rPr>
        <w:t>“节水优先、空间均衡、系统治理、两手发力”</w:t>
      </w:r>
      <w:r>
        <w:rPr>
          <w:rFonts w:hint="eastAsia" w:ascii="仿宋_GB2312" w:hAnsi="仿宋_GB2312" w:eastAsia="仿宋_GB2312" w:cs="仿宋_GB2312"/>
        </w:rPr>
        <w:t>十六字治水思路，水资源节约力度不断加大，防洪减灾能力明显</w:t>
      </w:r>
      <w:r>
        <w:rPr>
          <w:rFonts w:hint="eastAsia" w:ascii="仿宋_GB2312" w:hAnsi="仿宋_GB2312" w:eastAsia="仿宋_GB2312" w:cs="仿宋_GB2312"/>
          <w:color w:val="auto"/>
        </w:rPr>
        <w:t>增强，供水安全保障能力持续提升，水生态保护工作有序推进，水治理体系日臻完善，水利行业监管体系逐步建立。</w:t>
      </w:r>
    </w:p>
    <w:p w14:paraId="3D9EFB5F">
      <w:pPr>
        <w:pStyle w:val="27"/>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仿宋_GB2312" w:hAnsi="仿宋_GB2312" w:eastAsia="仿宋_GB2312" w:cs="仿宋_GB2312"/>
        </w:rPr>
      </w:pPr>
      <w:r>
        <w:rPr>
          <w:rFonts w:hint="eastAsia" w:ascii="仿宋_GB2312" w:hAnsi="仿宋_GB2312" w:eastAsia="仿宋_GB2312" w:cs="仿宋_GB2312"/>
          <w:color w:val="auto"/>
        </w:rPr>
        <w:t>当前，国家整体治水形势和治水理念转变，水利行业以“把水资源作为最大的刚性约束”为重要原则，以“重在保护、要在治理”为重要要求，以“建设造福人民的幸福河”为总体目标，对昌都水安全保障工作提出了新要求、带来了新机遇。“十四</w:t>
      </w:r>
      <w:r>
        <w:rPr>
          <w:rFonts w:hint="eastAsia" w:ascii="仿宋_GB2312" w:hAnsi="仿宋_GB2312" w:eastAsia="仿宋_GB2312" w:cs="仿宋_GB2312"/>
        </w:rPr>
        <w:t>五”时期是推进昌都长治久安和</w:t>
      </w:r>
      <w:r>
        <w:rPr>
          <w:rFonts w:hint="eastAsia" w:ascii="仿宋_GB2312" w:hAnsi="仿宋_GB2312" w:eastAsia="仿宋_GB2312" w:cs="仿宋_GB2312"/>
          <w:lang w:val="en-US" w:eastAsia="zh-CN"/>
        </w:rPr>
        <w:t>高质量发展</w:t>
      </w:r>
      <w:r>
        <w:rPr>
          <w:rFonts w:hint="eastAsia" w:ascii="仿宋_GB2312" w:hAnsi="仿宋_GB2312" w:eastAsia="仿宋_GB2312" w:cs="仿宋_GB2312"/>
        </w:rPr>
        <w:t>的强化阶段，科学编制</w:t>
      </w:r>
      <w:r>
        <w:rPr>
          <w:rFonts w:hint="eastAsia" w:ascii="仿宋_GB2312" w:hAnsi="仿宋_GB2312" w:eastAsia="仿宋_GB2312" w:cs="仿宋_GB2312"/>
          <w:lang w:val="en-US" w:eastAsia="zh-CN"/>
        </w:rPr>
        <w:t>昌都</w:t>
      </w:r>
      <w:r>
        <w:rPr>
          <w:rFonts w:hint="eastAsia" w:ascii="仿宋_GB2312" w:hAnsi="仿宋_GB2312" w:eastAsia="仿宋_GB2312" w:cs="仿宋_GB2312"/>
        </w:rPr>
        <w:t>“十四五”水安全保障规划，统筹谋划今后五年水安全保障总体目标、重点任务，对加强生态文明建设、筑牢生态安全屏障</w:t>
      </w:r>
      <w:r>
        <w:rPr>
          <w:rFonts w:hint="eastAsia" w:ascii="仿宋_GB2312" w:hAnsi="仿宋_GB2312" w:eastAsia="仿宋_GB2312" w:cs="仿宋_GB2312"/>
          <w:lang w:eastAsia="zh-CN"/>
        </w:rPr>
        <w:t>、</w:t>
      </w:r>
      <w:r>
        <w:rPr>
          <w:rFonts w:hint="eastAsia" w:ascii="仿宋_GB2312" w:hAnsi="仿宋_GB2312" w:eastAsia="仿宋_GB2312" w:cs="仿宋_GB2312"/>
        </w:rPr>
        <w:t>巩固</w:t>
      </w:r>
      <w:r>
        <w:rPr>
          <w:rFonts w:hint="eastAsia" w:ascii="仿宋_GB2312" w:hAnsi="仿宋_GB2312" w:eastAsia="仿宋_GB2312" w:cs="仿宋_GB2312"/>
          <w:lang w:eastAsia="zh-CN"/>
        </w:rPr>
        <w:t>脱贫攻坚成果、</w:t>
      </w:r>
      <w:r>
        <w:rPr>
          <w:rFonts w:hint="eastAsia" w:ascii="仿宋_GB2312" w:hAnsi="仿宋_GB2312" w:eastAsia="仿宋_GB2312" w:cs="仿宋_GB2312"/>
          <w:lang w:val="en-US" w:eastAsia="zh-CN"/>
        </w:rPr>
        <w:t>补齐</w:t>
      </w:r>
      <w:r>
        <w:rPr>
          <w:rFonts w:hint="eastAsia" w:ascii="仿宋_GB2312" w:hAnsi="仿宋_GB2312" w:eastAsia="仿宋_GB2312" w:cs="仿宋_GB2312"/>
        </w:rPr>
        <w:t>基础设施</w:t>
      </w:r>
      <w:r>
        <w:rPr>
          <w:rFonts w:hint="eastAsia" w:ascii="仿宋_GB2312" w:hAnsi="仿宋_GB2312" w:eastAsia="仿宋_GB2312" w:cs="仿宋_GB2312"/>
          <w:lang w:val="en-US" w:eastAsia="zh-CN"/>
        </w:rPr>
        <w:t>短板</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助力</w:t>
      </w:r>
      <w:r>
        <w:rPr>
          <w:rFonts w:hint="eastAsia" w:ascii="仿宋_GB2312" w:hAnsi="仿宋_GB2312" w:eastAsia="仿宋_GB2312" w:cs="仿宋_GB2312"/>
        </w:rPr>
        <w:t>全市经济社会高质量发展具有重要指导意义。</w:t>
      </w:r>
    </w:p>
    <w:p w14:paraId="0FF216EA">
      <w:pPr>
        <w:pStyle w:val="27"/>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lang w:val="en-US" w:eastAsia="zh-CN"/>
        </w:rPr>
        <w:t>为着力推动“十四五”时期昌都水利事业高质量发展，</w:t>
      </w:r>
      <w:r>
        <w:rPr>
          <w:rFonts w:hint="eastAsia" w:ascii="仿宋_GB2312" w:hAnsi="仿宋_GB2312" w:eastAsia="仿宋_GB2312" w:cs="仿宋_GB2312"/>
        </w:rPr>
        <w:t>按照《西藏自治区水利厅关于印发</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rPr>
        <w:t>西藏自治区水利改革发展</w:t>
      </w:r>
      <w:r>
        <w:rPr>
          <w:rFonts w:hint="eastAsia" w:ascii="仿宋_GB2312" w:hAnsi="仿宋_GB2312" w:eastAsia="仿宋_GB2312" w:cs="仿宋_GB2312"/>
          <w:lang w:eastAsia="zh-CN"/>
        </w:rPr>
        <w:t>“十四五”规划</w:t>
      </w:r>
      <w:r>
        <w:rPr>
          <w:rFonts w:hint="eastAsia" w:ascii="仿宋_GB2312" w:hAnsi="仿宋_GB2312" w:eastAsia="仿宋_GB2312" w:cs="仿宋_GB2312"/>
        </w:rPr>
        <w:t>编制工作大纲</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rPr>
        <w:t>的通知》（藏水字〔2018〕201号）、《西藏自治区水利改革发展“十四五”规划编制领导小组办公室关于做好“十四五”规划思路报告编制及提出水利基础设施补短板具体目标任务的通知》等文件有关要求，</w:t>
      </w:r>
      <w:r>
        <w:rPr>
          <w:rFonts w:hint="eastAsia" w:ascii="仿宋_GB2312" w:hAnsi="仿宋_GB2312" w:eastAsia="仿宋_GB2312" w:cs="仿宋_GB2312"/>
          <w:color w:val="auto"/>
          <w:lang w:val="en-US" w:eastAsia="zh-CN"/>
        </w:rPr>
        <w:t>昌都市</w:t>
      </w:r>
      <w:r>
        <w:rPr>
          <w:rFonts w:hint="eastAsia" w:ascii="仿宋_GB2312" w:hAnsi="仿宋_GB2312" w:eastAsia="仿宋_GB2312" w:cs="仿宋_GB2312"/>
          <w:color w:val="auto"/>
          <w:highlight w:val="none"/>
          <w:lang w:val="en-US" w:eastAsia="zh-CN"/>
        </w:rPr>
        <w:t>通过</w:t>
      </w:r>
      <w:r>
        <w:rPr>
          <w:rFonts w:hint="eastAsia" w:ascii="仿宋_GB2312" w:hAnsi="仿宋_GB2312" w:eastAsia="仿宋_GB2312" w:cs="仿宋_GB2312"/>
          <w:color w:val="auto"/>
          <w:highlight w:val="none"/>
        </w:rPr>
        <w:t>全面分析水安全现状、问题和形势，提出了“十四五”水安全保障的总体思路、重点任务和保障措施</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编制完成了《昌都市“十四五”水安全保障规划》。本规划是指导昌都市今后五年水安全保障的重要依据。</w:t>
      </w:r>
    </w:p>
    <w:p w14:paraId="7CEBF5DF">
      <w:pPr>
        <w:pStyle w:val="27"/>
        <w:keepNext w:val="0"/>
        <w:keepLines w:val="0"/>
        <w:pageBreakBefore w:val="0"/>
        <w:widowControl w:val="0"/>
        <w:kinsoku/>
        <w:wordWrap/>
        <w:overflowPunct/>
        <w:topLinePunct w:val="0"/>
        <w:autoSpaceDE/>
        <w:autoSpaceDN/>
        <w:bidi w:val="0"/>
        <w:spacing w:line="576" w:lineRule="exact"/>
        <w:textAlignment w:val="auto"/>
        <w:rPr>
          <w:rFonts w:cs="Times New Roman"/>
        </w:rPr>
        <w:sectPr>
          <w:footerReference r:id="rId4" w:type="default"/>
          <w:pgSz w:w="11906" w:h="16838"/>
          <w:pgMar w:top="2098" w:right="1474" w:bottom="1984" w:left="1531" w:header="851" w:footer="992" w:gutter="0"/>
          <w:pgNumType w:fmt="decimal"/>
          <w:cols w:space="425" w:num="1"/>
          <w:docGrid w:type="lines" w:linePitch="312" w:charSpace="0"/>
        </w:sectPr>
      </w:pPr>
    </w:p>
    <w:sdt>
      <w:sdtPr>
        <w:rPr>
          <w:rFonts w:ascii="Times New Roman" w:hAnsi="Times New Roman" w:eastAsia="黑体" w:cs="Times New Roman"/>
          <w:color w:val="auto"/>
          <w:kern w:val="2"/>
          <w:sz w:val="36"/>
          <w:szCs w:val="36"/>
          <w:lang w:val="zh-CN"/>
        </w:rPr>
        <w:id w:val="396559057"/>
      </w:sdtPr>
      <w:sdtEndPr>
        <w:rPr>
          <w:rFonts w:ascii="Times New Roman" w:hAnsi="Times New Roman" w:cs="Times New Roman" w:eastAsiaTheme="minorEastAsia"/>
          <w:b/>
          <w:bCs/>
          <w:color w:val="auto"/>
          <w:kern w:val="2"/>
          <w:sz w:val="21"/>
          <w:szCs w:val="22"/>
          <w:lang w:val="zh-CN"/>
        </w:rPr>
      </w:sdtEndPr>
      <w:sdtContent>
        <w:p w14:paraId="5D1456F6">
          <w:pPr>
            <w:pStyle w:val="51"/>
            <w:jc w:val="center"/>
            <w:rPr>
              <w:rFonts w:ascii="Times New Roman" w:hAnsi="Times New Roman" w:eastAsia="黑体" w:cs="Times New Roman"/>
              <w:color w:val="auto"/>
              <w:sz w:val="36"/>
              <w:szCs w:val="36"/>
            </w:rPr>
          </w:pPr>
          <w:r>
            <w:rPr>
              <w:rFonts w:ascii="Times New Roman" w:hAnsi="Times New Roman" w:eastAsia="黑体" w:cs="Times New Roman"/>
              <w:color w:val="auto"/>
              <w:sz w:val="36"/>
              <w:szCs w:val="36"/>
              <w:lang w:val="zh-CN"/>
            </w:rPr>
            <w:t>目  录</w:t>
          </w:r>
        </w:p>
        <w:p w14:paraId="7A892D30">
          <w:pPr>
            <w:pStyle w:val="14"/>
            <w:rPr>
              <w:rFonts w:ascii="Times New Roman" w:hAnsi="Times New Roman" w:eastAsiaTheme="minorEastAsia"/>
              <w:b w:val="0"/>
              <w:bCs/>
              <w:sz w:val="21"/>
              <w:szCs w:val="22"/>
            </w:rPr>
          </w:pPr>
          <w:r>
            <w:rPr>
              <w:rFonts w:ascii="Times New Roman" w:hAnsi="Times New Roman" w:eastAsia="楷体"/>
            </w:rPr>
            <w:fldChar w:fldCharType="begin"/>
          </w:r>
          <w:r>
            <w:rPr>
              <w:rFonts w:ascii="Times New Roman" w:hAnsi="Times New Roman" w:eastAsia="楷体"/>
            </w:rPr>
            <w:instrText xml:space="preserve"> TOC \o "1-3" \h \z \u </w:instrText>
          </w:r>
          <w:r>
            <w:rPr>
              <w:rFonts w:ascii="Times New Roman" w:hAnsi="Times New Roman" w:eastAsia="楷体"/>
            </w:rPr>
            <w:fldChar w:fldCharType="separate"/>
          </w:r>
          <w:r>
            <w:rPr>
              <w:b w:val="0"/>
              <w:bCs/>
            </w:rPr>
            <w:fldChar w:fldCharType="begin"/>
          </w:r>
          <w:r>
            <w:rPr>
              <w:b w:val="0"/>
              <w:bCs/>
            </w:rPr>
            <w:instrText xml:space="preserve"> HYPERLINK \l "_Toc114063666" </w:instrText>
          </w:r>
          <w:r>
            <w:rPr>
              <w:b w:val="0"/>
              <w:bCs/>
            </w:rPr>
            <w:fldChar w:fldCharType="separate"/>
          </w:r>
          <w:r>
            <w:rPr>
              <w:rStyle w:val="23"/>
              <w:rFonts w:ascii="Times New Roman" w:hAnsi="Times New Roman"/>
              <w:b w:val="0"/>
              <w:bCs/>
            </w:rPr>
            <w:t>一、现状与形势</w:t>
          </w:r>
          <w:r>
            <w:rPr>
              <w:rFonts w:ascii="Times New Roman" w:hAnsi="Times New Roman"/>
              <w:b w:val="0"/>
              <w:bCs/>
            </w:rPr>
            <w:tab/>
          </w:r>
          <w:r>
            <w:rPr>
              <w:rFonts w:hint="eastAsia" w:ascii="Times New Roman" w:hAnsi="Times New Roman"/>
              <w:b w:val="0"/>
              <w:bCs/>
              <w:lang w:val="en-US" w:eastAsia="zh-CN"/>
            </w:rPr>
            <w:t>1</w:t>
          </w:r>
          <w:r>
            <w:rPr>
              <w:rFonts w:ascii="Times New Roman" w:hAnsi="Times New Roman"/>
              <w:b w:val="0"/>
              <w:bCs/>
            </w:rPr>
            <w:fldChar w:fldCharType="end"/>
          </w:r>
        </w:p>
        <w:p w14:paraId="2CB6812F">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"_Toc114063667"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（一）区域基本情况</w:t>
          </w:r>
          <w:r>
            <w:rPr>
              <w:rFonts w:hint="eastAsia" w:ascii="楷体_GB2312" w:hAnsi="楷体_GB2312" w:eastAsia="楷体_GB2312" w:cs="楷体_GB2312"/>
            </w:rPr>
            <w:tab/>
          </w:r>
          <w:r>
            <w:rPr>
              <w:rFonts w:hint="eastAsia" w:ascii="楷体_GB2312" w:hAnsi="楷体_GB2312" w:eastAsia="楷体_GB2312" w:cs="楷体_GB2312"/>
              <w:lang w:val="en-US" w:eastAsia="zh-CN"/>
            </w:rPr>
            <w:t>1</w:t>
          </w:r>
          <w:r>
            <w:rPr>
              <w:rFonts w:hint="eastAsia" w:ascii="楷体_GB2312" w:hAnsi="楷体_GB2312" w:eastAsia="楷体_GB2312" w:cs="楷体_GB2312"/>
            </w:rPr>
            <w:fldChar w:fldCharType="end"/>
          </w:r>
        </w:p>
        <w:p w14:paraId="18ACF7E1">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"_Toc114063673"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（二）水安全现状</w:t>
          </w:r>
          <w:r>
            <w:rPr>
              <w:rFonts w:hint="eastAsia" w:ascii="楷体_GB2312" w:hAnsi="楷体_GB2312" w:eastAsia="楷体_GB2312" w:cs="楷体_GB2312"/>
            </w:rPr>
            <w:tab/>
          </w:r>
          <w:r>
            <w:rPr>
              <w:rFonts w:hint="eastAsia" w:ascii="楷体_GB2312" w:hAnsi="楷体_GB2312" w:eastAsia="楷体_GB2312" w:cs="楷体_GB2312"/>
              <w:lang w:val="en-US" w:eastAsia="zh-CN"/>
            </w:rPr>
            <w:t>8</w:t>
          </w:r>
          <w:r>
            <w:rPr>
              <w:rFonts w:hint="eastAsia" w:ascii="楷体_GB2312" w:hAnsi="楷体_GB2312" w:eastAsia="楷体_GB2312" w:cs="楷体_GB2312"/>
            </w:rPr>
            <w:fldChar w:fldCharType="end"/>
          </w:r>
        </w:p>
        <w:p w14:paraId="3A1EDE74">
          <w:pPr>
            <w:pStyle w:val="17"/>
            <w:tabs>
              <w:tab w:val="right" w:leader="dot" w:pos="8296"/>
            </w:tabs>
            <w:ind w:firstLine="640"/>
            <w:rPr>
              <w:rFonts w:eastAsiaTheme="minorEastAsia"/>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"_Toc114063681"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（三）面临形势</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_Toc114063681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w:t>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1095E13B">
          <w:pPr>
            <w:pStyle w:val="14"/>
            <w:rPr>
              <w:rFonts w:ascii="Times New Roman" w:hAnsi="Times New Roman" w:eastAsiaTheme="minorEastAsia"/>
              <w:b w:val="0"/>
              <w:sz w:val="21"/>
              <w:szCs w:val="22"/>
            </w:rPr>
          </w:pPr>
          <w:r>
            <w:rPr>
              <w:b w:val="0"/>
              <w:bCs/>
            </w:rPr>
            <w:fldChar w:fldCharType="begin"/>
          </w:r>
          <w:r>
            <w:rPr>
              <w:b w:val="0"/>
              <w:bCs/>
            </w:rPr>
            <w:instrText xml:space="preserve"> HYPERLINK \l "_Toc114063682" </w:instrText>
          </w:r>
          <w:r>
            <w:rPr>
              <w:b w:val="0"/>
              <w:bCs/>
            </w:rPr>
            <w:fldChar w:fldCharType="separate"/>
          </w:r>
          <w:r>
            <w:rPr>
              <w:rStyle w:val="23"/>
              <w:rFonts w:ascii="Times New Roman" w:hAnsi="Times New Roman"/>
              <w:b w:val="0"/>
              <w:bCs/>
            </w:rPr>
            <w:t>二、总体思路</w:t>
          </w:r>
          <w:r>
            <w:rPr>
              <w:rFonts w:ascii="Times New Roman" w:hAnsi="Times New Roman"/>
              <w:b w:val="0"/>
              <w:bCs/>
            </w:rPr>
            <w:tab/>
          </w:r>
          <w:r>
            <w:rPr>
              <w:rFonts w:hint="eastAsia" w:ascii="Times New Roman" w:hAnsi="Times New Roman"/>
              <w:b w:val="0"/>
              <w:bCs/>
              <w:lang w:val="en-US" w:eastAsia="zh-CN"/>
            </w:rPr>
            <w:t>1</w:t>
          </w:r>
          <w:r>
            <w:rPr>
              <w:rFonts w:ascii="Times New Roman" w:hAnsi="Times New Roman"/>
              <w:b w:val="0"/>
              <w:bCs/>
            </w:rPr>
            <w:fldChar w:fldCharType="end"/>
          </w:r>
          <w:r>
            <w:rPr>
              <w:rFonts w:hint="eastAsia" w:ascii="Times New Roman" w:hAnsi="Times New Roman"/>
              <w:b w:val="0"/>
              <w:bCs/>
              <w:lang w:val="en-US" w:eastAsia="zh-CN"/>
            </w:rPr>
            <w:t>6</w:t>
          </w:r>
        </w:p>
        <w:p w14:paraId="4889A830">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"_Toc114063683"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（一）指导思想</w:t>
          </w:r>
          <w:r>
            <w:rPr>
              <w:rFonts w:hint="eastAsia" w:ascii="楷体_GB2312" w:hAnsi="楷体_GB2312" w:eastAsia="楷体_GB2312" w:cs="楷体_GB2312"/>
            </w:rPr>
            <w:tab/>
          </w:r>
          <w:r>
            <w:rPr>
              <w:rFonts w:hint="eastAsia" w:ascii="楷体_GB2312" w:hAnsi="楷体_GB2312" w:eastAsia="楷体_GB2312" w:cs="楷体_GB2312"/>
              <w:lang w:val="en-US" w:eastAsia="zh-CN"/>
            </w:rPr>
            <w:t>1</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6</w:t>
          </w:r>
        </w:p>
        <w:p w14:paraId="41450633">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"_Toc114063684"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（二）基本原则</w:t>
          </w:r>
          <w:r>
            <w:rPr>
              <w:rFonts w:hint="eastAsia" w:ascii="楷体_GB2312" w:hAnsi="楷体_GB2312" w:eastAsia="楷体_GB2312" w:cs="楷体_GB2312"/>
            </w:rPr>
            <w:tab/>
          </w:r>
          <w:r>
            <w:rPr>
              <w:rFonts w:hint="eastAsia" w:ascii="楷体_GB2312" w:hAnsi="楷体_GB2312" w:eastAsia="楷体_GB2312" w:cs="楷体_GB2312"/>
              <w:lang w:val="en-US" w:eastAsia="zh-CN"/>
            </w:rPr>
            <w:t>1</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6</w:t>
          </w:r>
        </w:p>
        <w:p w14:paraId="6B9D6551">
          <w:pPr>
            <w:pStyle w:val="17"/>
            <w:tabs>
              <w:tab w:val="right" w:leader="dot" w:pos="8296"/>
            </w:tabs>
            <w:ind w:firstLine="640"/>
            <w:rPr>
              <w:rFonts w:eastAsia="楷体"/>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"_Toc114063685"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（三）发展目标</w:t>
          </w:r>
          <w:r>
            <w:rPr>
              <w:rFonts w:hint="eastAsia" w:ascii="楷体_GB2312" w:hAnsi="楷体_GB2312" w:eastAsia="楷体_GB2312" w:cs="楷体_GB2312"/>
            </w:rPr>
            <w:tab/>
          </w:r>
          <w:r>
            <w:rPr>
              <w:rFonts w:hint="eastAsia" w:ascii="楷体_GB2312" w:hAnsi="楷体_GB2312" w:eastAsia="楷体_GB2312" w:cs="楷体_GB2312"/>
              <w:lang w:val="en-US" w:eastAsia="zh-CN"/>
            </w:rPr>
            <w:t>1</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7</w:t>
          </w:r>
        </w:p>
        <w:p w14:paraId="0BB30842">
          <w:pPr>
            <w:pStyle w:val="14"/>
            <w:rPr>
              <w:rFonts w:ascii="Times New Roman" w:hAnsi="Times New Roman" w:eastAsiaTheme="minorEastAsia"/>
              <w:b w:val="0"/>
              <w:sz w:val="21"/>
              <w:szCs w:val="22"/>
            </w:rPr>
          </w:pPr>
          <w:r>
            <w:rPr>
              <w:b w:val="0"/>
              <w:bCs/>
            </w:rPr>
            <w:fldChar w:fldCharType="begin"/>
          </w:r>
          <w:r>
            <w:rPr>
              <w:b w:val="0"/>
              <w:bCs/>
            </w:rPr>
            <w:instrText xml:space="preserve"> HYPERLINK \l "_Toc114063686" </w:instrText>
          </w:r>
          <w:r>
            <w:rPr>
              <w:b w:val="0"/>
              <w:bCs/>
            </w:rPr>
            <w:fldChar w:fldCharType="separate"/>
          </w:r>
          <w:r>
            <w:rPr>
              <w:rStyle w:val="23"/>
              <w:rFonts w:ascii="Times New Roman" w:hAnsi="Times New Roman"/>
              <w:b w:val="0"/>
              <w:bCs/>
            </w:rPr>
            <w:t>三、完善流域防洪工程体系，提升水旱灾害防御能力</w:t>
          </w:r>
          <w:r>
            <w:rPr>
              <w:rFonts w:ascii="Times New Roman" w:hAnsi="Times New Roman"/>
              <w:b w:val="0"/>
              <w:bCs/>
            </w:rPr>
            <w:tab/>
          </w:r>
          <w:r>
            <w:rPr>
              <w:rFonts w:ascii="Times New Roman" w:hAnsi="Times New Roman"/>
              <w:b w:val="0"/>
              <w:bCs/>
            </w:rPr>
            <w:fldChar w:fldCharType="begin"/>
          </w:r>
          <w:r>
            <w:rPr>
              <w:rFonts w:ascii="Times New Roman" w:hAnsi="Times New Roman"/>
              <w:b w:val="0"/>
              <w:bCs/>
            </w:rPr>
            <w:instrText xml:space="preserve"> PAGEREF _Toc114063686 \h </w:instrText>
          </w:r>
          <w:r>
            <w:rPr>
              <w:rFonts w:ascii="Times New Roman" w:hAnsi="Times New Roman"/>
              <w:b w:val="0"/>
              <w:bCs/>
            </w:rPr>
            <w:fldChar w:fldCharType="separate"/>
          </w:r>
          <w:r>
            <w:rPr>
              <w:rFonts w:ascii="Times New Roman" w:hAnsi="Times New Roman"/>
              <w:b w:val="0"/>
              <w:bCs/>
            </w:rPr>
            <w:t>2</w:t>
          </w:r>
          <w:r>
            <w:rPr>
              <w:rFonts w:hint="eastAsia" w:ascii="Times New Roman" w:hAnsi="Times New Roman"/>
              <w:b w:val="0"/>
              <w:bCs/>
              <w:lang w:val="en-US" w:eastAsia="zh-CN"/>
            </w:rPr>
            <w:t>0</w:t>
          </w:r>
          <w:r>
            <w:rPr>
              <w:rFonts w:ascii="Times New Roman" w:hAnsi="Times New Roman"/>
              <w:b w:val="0"/>
              <w:bCs/>
            </w:rPr>
            <w:fldChar w:fldCharType="end"/>
          </w:r>
          <w:r>
            <w:rPr>
              <w:rFonts w:ascii="Times New Roman" w:hAnsi="Times New Roman"/>
              <w:b w:val="0"/>
              <w:bCs/>
            </w:rPr>
            <w:fldChar w:fldCharType="end"/>
          </w:r>
        </w:p>
        <w:p w14:paraId="5C01CC2D">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"_Toc114063687"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（一）加强江河治理</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_Toc114063687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0</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51D5E865">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"_Toc114063688"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（二）加快病险水库除险加固</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_Toc114063688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0</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086120A2">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"_Toc114063689"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（三）加强城镇防洪能力建设</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_Toc114063689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1</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4A130BEF">
          <w:pPr>
            <w:pStyle w:val="17"/>
            <w:tabs>
              <w:tab w:val="right" w:leader="dot" w:pos="8296"/>
            </w:tabs>
            <w:ind w:firstLine="640"/>
            <w:rPr>
              <w:rFonts w:eastAsia="楷体"/>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"_Toc114063690"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（四）开展山洪灾害防治</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_Toc114063690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1</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7CDB04B4">
          <w:pPr>
            <w:pStyle w:val="14"/>
            <w:rPr>
              <w:rFonts w:ascii="Times New Roman" w:hAnsi="Times New Roman" w:eastAsiaTheme="minorEastAsia"/>
              <w:b w:val="0"/>
              <w:bCs/>
              <w:sz w:val="21"/>
              <w:szCs w:val="22"/>
            </w:rPr>
          </w:pPr>
          <w:r>
            <w:rPr>
              <w:b w:val="0"/>
              <w:bCs/>
            </w:rPr>
            <w:fldChar w:fldCharType="begin"/>
          </w:r>
          <w:r>
            <w:rPr>
              <w:b w:val="0"/>
              <w:bCs/>
            </w:rPr>
            <w:instrText xml:space="preserve"> HYPERLINK \l "_Toc114063692" </w:instrText>
          </w:r>
          <w:r>
            <w:rPr>
              <w:b w:val="0"/>
              <w:bCs/>
            </w:rPr>
            <w:fldChar w:fldCharType="separate"/>
          </w:r>
          <w:r>
            <w:rPr>
              <w:rStyle w:val="23"/>
              <w:rFonts w:ascii="Times New Roman" w:hAnsi="Times New Roman"/>
              <w:b w:val="0"/>
              <w:bCs/>
            </w:rPr>
            <w:t>四、维护河湖健康生命，提升河湖生态保护治理能力</w:t>
          </w:r>
          <w:r>
            <w:rPr>
              <w:rFonts w:ascii="Times New Roman" w:hAnsi="Times New Roman"/>
              <w:b w:val="0"/>
              <w:bCs/>
            </w:rPr>
            <w:tab/>
          </w:r>
          <w:r>
            <w:rPr>
              <w:rFonts w:ascii="Times New Roman" w:hAnsi="Times New Roman"/>
              <w:b w:val="0"/>
              <w:bCs/>
            </w:rPr>
            <w:fldChar w:fldCharType="begin"/>
          </w:r>
          <w:r>
            <w:rPr>
              <w:rFonts w:ascii="Times New Roman" w:hAnsi="Times New Roman"/>
              <w:b w:val="0"/>
              <w:bCs/>
            </w:rPr>
            <w:instrText xml:space="preserve"> PAGEREF _Toc114063692 \h </w:instrText>
          </w:r>
          <w:r>
            <w:rPr>
              <w:rFonts w:ascii="Times New Roman" w:hAnsi="Times New Roman"/>
              <w:b w:val="0"/>
              <w:bCs/>
            </w:rPr>
            <w:fldChar w:fldCharType="separate"/>
          </w:r>
          <w:r>
            <w:rPr>
              <w:rFonts w:ascii="Times New Roman" w:hAnsi="Times New Roman"/>
              <w:b w:val="0"/>
              <w:bCs/>
            </w:rPr>
            <w:t>2</w:t>
          </w:r>
          <w:r>
            <w:rPr>
              <w:rFonts w:hint="eastAsia" w:ascii="Times New Roman" w:hAnsi="Times New Roman"/>
              <w:b w:val="0"/>
              <w:bCs/>
              <w:lang w:val="en-US" w:eastAsia="zh-CN"/>
            </w:rPr>
            <w:t>3</w:t>
          </w:r>
          <w:r>
            <w:rPr>
              <w:rFonts w:ascii="Times New Roman" w:hAnsi="Times New Roman"/>
              <w:b w:val="0"/>
              <w:bCs/>
            </w:rPr>
            <w:fldChar w:fldCharType="end"/>
          </w:r>
          <w:r>
            <w:rPr>
              <w:rFonts w:ascii="Times New Roman" w:hAnsi="Times New Roman"/>
              <w:b w:val="0"/>
              <w:bCs/>
            </w:rPr>
            <w:fldChar w:fldCharType="end"/>
          </w:r>
        </w:p>
        <w:p w14:paraId="67CF8706">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"_Toc114063693"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（一）加强水源涵养与保护</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_Toc114063693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7E39E151">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"_Toc114063694"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（二）加大推进水土保持生态建设</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_Toc114063694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1F70E3AE">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"_Toc114063695"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（三）加强河湖生态保护与修复</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_Toc114063695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4</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6FEF395F">
          <w:pPr>
            <w:pStyle w:val="17"/>
            <w:tabs>
              <w:tab w:val="right" w:leader="dot" w:pos="8296"/>
            </w:tabs>
            <w:ind w:firstLine="640"/>
            <w:rPr>
              <w:rFonts w:eastAsia="楷体"/>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"_Toc114063696"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（四）开展水美乡村建设</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_Toc114063696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w:t>
          </w:r>
          <w:r>
            <w:rPr>
              <w:rFonts w:hint="eastAsia" w:ascii="楷体_GB2312" w:hAnsi="楷体_GB2312" w:eastAsia="楷体_GB2312" w:cs="楷体_GB2312"/>
              <w:lang w:val="en-US" w:eastAsia="zh-CN"/>
            </w:rPr>
            <w:t>4</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22E58F4D">
          <w:pPr>
            <w:pStyle w:val="14"/>
            <w:rPr>
              <w:rFonts w:ascii="Times New Roman" w:hAnsi="Times New Roman" w:eastAsiaTheme="minorEastAsia"/>
              <w:b w:val="0"/>
              <w:sz w:val="21"/>
              <w:szCs w:val="22"/>
            </w:rPr>
          </w:pPr>
          <w:r>
            <w:rPr>
              <w:b w:val="0"/>
              <w:bCs/>
            </w:rPr>
            <w:fldChar w:fldCharType="begin"/>
          </w:r>
          <w:r>
            <w:rPr>
              <w:b w:val="0"/>
              <w:bCs/>
            </w:rPr>
            <w:instrText xml:space="preserve"> HYPERLINK \l "_Toc114063698" </w:instrText>
          </w:r>
          <w:r>
            <w:rPr>
              <w:b w:val="0"/>
              <w:bCs/>
            </w:rPr>
            <w:fldChar w:fldCharType="separate"/>
          </w:r>
          <w:r>
            <w:rPr>
              <w:rStyle w:val="23"/>
              <w:rFonts w:ascii="Times New Roman" w:hAnsi="Times New Roman"/>
              <w:b w:val="0"/>
              <w:bCs/>
            </w:rPr>
            <w:t>五、加强水资源集约安全利用，提升水资源优化配置能力</w:t>
          </w:r>
          <w:r>
            <w:rPr>
              <w:rFonts w:ascii="Times New Roman" w:hAnsi="Times New Roman"/>
              <w:b w:val="0"/>
              <w:bCs/>
            </w:rPr>
            <w:tab/>
          </w:r>
          <w:r>
            <w:rPr>
              <w:rFonts w:hint="eastAsia" w:ascii="Times New Roman" w:hAnsi="Times New Roman"/>
              <w:b w:val="0"/>
              <w:bCs/>
              <w:lang w:val="en-US" w:eastAsia="zh-CN"/>
            </w:rPr>
            <w:t>2</w:t>
          </w:r>
          <w:r>
            <w:rPr>
              <w:rFonts w:ascii="Times New Roman" w:hAnsi="Times New Roman"/>
              <w:b w:val="0"/>
              <w:bCs/>
            </w:rPr>
            <w:fldChar w:fldCharType="end"/>
          </w:r>
          <w:r>
            <w:rPr>
              <w:rFonts w:hint="eastAsia" w:ascii="Times New Roman" w:hAnsi="Times New Roman"/>
              <w:b w:val="0"/>
              <w:bCs/>
              <w:lang w:val="en-US" w:eastAsia="zh-CN"/>
            </w:rPr>
            <w:t>6</w:t>
          </w:r>
        </w:p>
        <w:p w14:paraId="7B1D7E40">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"_Toc114063699"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（一）加强重点领域节水</w:t>
          </w:r>
          <w:r>
            <w:rPr>
              <w:rFonts w:hint="eastAsia" w:ascii="楷体_GB2312" w:hAnsi="楷体_GB2312" w:eastAsia="楷体_GB2312" w:cs="楷体_GB2312"/>
            </w:rPr>
            <w:tab/>
          </w:r>
          <w:r>
            <w:rPr>
              <w:rFonts w:hint="eastAsia" w:ascii="楷体_GB2312" w:hAnsi="楷体_GB2312" w:eastAsia="楷体_GB2312" w:cs="楷体_GB2312"/>
              <w:lang w:val="en-US" w:eastAsia="zh-CN"/>
            </w:rPr>
            <w:t>2</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6</w:t>
          </w:r>
        </w:p>
        <w:p w14:paraId="67C5B043">
          <w:pPr>
            <w:pStyle w:val="17"/>
            <w:tabs>
              <w:tab w:val="right" w:leader="dot" w:pos="8296"/>
            </w:tabs>
            <w:ind w:firstLine="640"/>
            <w:rPr>
              <w:rFonts w:hint="eastAsia" w:ascii="楷体_GB2312" w:hAnsi="楷体_GB2312" w:eastAsia="楷体_GB2312" w:cs="楷体_GB2312"/>
            </w:rPr>
            <w:sectPr>
              <w:footerReference r:id="rId5" w:type="default"/>
              <w:pgSz w:w="11906" w:h="16838"/>
              <w:pgMar w:top="2098" w:right="1474" w:bottom="1984" w:left="1531" w:header="851" w:footer="992" w:gutter="0"/>
              <w:pgNumType w:fmt="decimal" w:start="1"/>
              <w:cols w:space="425" w:num="1"/>
              <w:docGrid w:type="lines" w:linePitch="312" w:charSpace="0"/>
            </w:sectPr>
          </w:pPr>
        </w:p>
        <w:p w14:paraId="7DE07D0A">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"_Toc114063700"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（二）加快推进重点水源和灌区工程建设</w:t>
          </w:r>
          <w:r>
            <w:rPr>
              <w:rFonts w:hint="eastAsia" w:ascii="楷体_GB2312" w:hAnsi="楷体_GB2312" w:eastAsia="楷体_GB2312" w:cs="楷体_GB2312"/>
            </w:rPr>
            <w:tab/>
          </w:r>
          <w:r>
            <w:rPr>
              <w:rFonts w:hint="eastAsia" w:ascii="楷体_GB2312" w:hAnsi="楷体_GB2312" w:eastAsia="楷体_GB2312" w:cs="楷体_GB2312"/>
              <w:lang w:val="en-US" w:eastAsia="zh-CN"/>
            </w:rPr>
            <w:t>2</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7</w:t>
          </w:r>
        </w:p>
        <w:p w14:paraId="21685197">
          <w:pPr>
            <w:pStyle w:val="17"/>
            <w:tabs>
              <w:tab w:val="right" w:leader="dot" w:pos="8296"/>
            </w:tabs>
            <w:ind w:firstLine="640"/>
            <w:rPr>
              <w:rFonts w:eastAsia="楷体"/>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"_Toc114063701"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（三）优化城乡供水格局</w:t>
          </w:r>
          <w:r>
            <w:rPr>
              <w:rFonts w:hint="eastAsia" w:ascii="楷体_GB2312" w:hAnsi="楷体_GB2312" w:eastAsia="楷体_GB2312" w:cs="楷体_GB2312"/>
            </w:rPr>
            <w:tab/>
          </w:r>
          <w:r>
            <w:rPr>
              <w:rFonts w:hint="eastAsia" w:ascii="楷体_GB2312" w:hAnsi="楷体_GB2312" w:eastAsia="楷体_GB2312" w:cs="楷体_GB2312"/>
              <w:lang w:val="en-US" w:eastAsia="zh-CN"/>
            </w:rPr>
            <w:t>2</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8</w:t>
          </w:r>
        </w:p>
        <w:p w14:paraId="1ABCC14F">
          <w:pPr>
            <w:pStyle w:val="14"/>
            <w:rPr>
              <w:rFonts w:ascii="Times New Roman" w:hAnsi="Times New Roman" w:eastAsiaTheme="minorEastAsia"/>
              <w:b w:val="0"/>
              <w:sz w:val="21"/>
              <w:szCs w:val="22"/>
            </w:rPr>
          </w:pPr>
          <w:r>
            <w:rPr>
              <w:b w:val="0"/>
              <w:bCs/>
            </w:rPr>
            <w:fldChar w:fldCharType="begin"/>
          </w:r>
          <w:r>
            <w:rPr>
              <w:b w:val="0"/>
              <w:bCs/>
            </w:rPr>
            <w:instrText xml:space="preserve"> HYPERLINK \l "_Toc114063703" </w:instrText>
          </w:r>
          <w:r>
            <w:rPr>
              <w:b w:val="0"/>
              <w:bCs/>
            </w:rPr>
            <w:fldChar w:fldCharType="separate"/>
          </w:r>
          <w:r>
            <w:rPr>
              <w:rStyle w:val="23"/>
              <w:rFonts w:ascii="Times New Roman" w:hAnsi="Times New Roman"/>
              <w:b w:val="0"/>
              <w:bCs/>
            </w:rPr>
            <w:t>六、提升水利信息化水平，推动智慧水利建设</w:t>
          </w:r>
          <w:r>
            <w:rPr>
              <w:rFonts w:ascii="Times New Roman" w:hAnsi="Times New Roman"/>
              <w:b w:val="0"/>
              <w:bCs/>
            </w:rPr>
            <w:tab/>
          </w:r>
          <w:r>
            <w:rPr>
              <w:rFonts w:ascii="Times New Roman" w:hAnsi="Times New Roman"/>
              <w:b w:val="0"/>
              <w:bCs/>
            </w:rPr>
            <w:fldChar w:fldCharType="begin"/>
          </w:r>
          <w:r>
            <w:rPr>
              <w:rFonts w:ascii="Times New Roman" w:hAnsi="Times New Roman"/>
              <w:b w:val="0"/>
              <w:bCs/>
            </w:rPr>
            <w:instrText xml:space="preserve"> PAGEREF _Toc114063703 \h </w:instrText>
          </w:r>
          <w:r>
            <w:rPr>
              <w:rFonts w:ascii="Times New Roman" w:hAnsi="Times New Roman"/>
              <w:b w:val="0"/>
              <w:bCs/>
            </w:rPr>
            <w:fldChar w:fldCharType="separate"/>
          </w:r>
          <w:r>
            <w:rPr>
              <w:rFonts w:ascii="Times New Roman" w:hAnsi="Times New Roman"/>
              <w:b w:val="0"/>
              <w:bCs/>
            </w:rPr>
            <w:t>3</w:t>
          </w:r>
          <w:r>
            <w:rPr>
              <w:rFonts w:hint="eastAsia" w:ascii="Times New Roman" w:hAnsi="Times New Roman"/>
              <w:b w:val="0"/>
              <w:bCs/>
              <w:lang w:val="en-US" w:eastAsia="zh-CN"/>
            </w:rPr>
            <w:t>0</w:t>
          </w:r>
          <w:r>
            <w:rPr>
              <w:rFonts w:ascii="Times New Roman" w:hAnsi="Times New Roman"/>
              <w:b w:val="0"/>
              <w:bCs/>
            </w:rPr>
            <w:fldChar w:fldCharType="end"/>
          </w:r>
          <w:r>
            <w:rPr>
              <w:rFonts w:ascii="Times New Roman" w:hAnsi="Times New Roman"/>
              <w:b w:val="0"/>
              <w:bCs/>
            </w:rPr>
            <w:fldChar w:fldCharType="end"/>
          </w:r>
        </w:p>
        <w:p w14:paraId="41EA993A">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"_Toc114063704"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（一）加强监测网络体系建设</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_Toc114063704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w:t>
          </w:r>
          <w:r>
            <w:rPr>
              <w:rFonts w:hint="eastAsia" w:ascii="楷体_GB2312" w:hAnsi="楷体_GB2312" w:eastAsia="楷体_GB2312" w:cs="楷体_GB2312"/>
              <w:lang w:val="en-US" w:eastAsia="zh-CN"/>
            </w:rPr>
            <w:t>0</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69491FE4">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"_Toc114063705"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（二）完善水利信息网络基础设施</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_Toc114063705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w:t>
          </w:r>
          <w:r>
            <w:rPr>
              <w:rFonts w:hint="eastAsia" w:ascii="楷体_GB2312" w:hAnsi="楷体_GB2312" w:eastAsia="楷体_GB2312" w:cs="楷体_GB2312"/>
              <w:lang w:val="en-US" w:eastAsia="zh-CN"/>
            </w:rPr>
            <w:t>0</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4C816A3A">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"_Toc114063706"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（三）建设水利大数据中心和平台</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_Toc114063706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w:t>
          </w:r>
          <w:r>
            <w:rPr>
              <w:rFonts w:hint="eastAsia" w:ascii="楷体_GB2312" w:hAnsi="楷体_GB2312" w:eastAsia="楷体_GB2312" w:cs="楷体_GB2312"/>
              <w:lang w:val="en-US" w:eastAsia="zh-CN"/>
            </w:rPr>
            <w:t>0</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56F4C55D">
          <w:pPr>
            <w:pStyle w:val="17"/>
            <w:tabs>
              <w:tab w:val="right" w:leader="dot" w:pos="8296"/>
            </w:tabs>
            <w:ind w:firstLine="640"/>
            <w:rPr>
              <w:rFonts w:eastAsia="楷体"/>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"_Toc114063707"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（四）加强水利业务协同应用</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_Toc114063707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w:t>
          </w:r>
          <w:r>
            <w:rPr>
              <w:rFonts w:hint="eastAsia" w:ascii="楷体_GB2312" w:hAnsi="楷体_GB2312" w:eastAsia="楷体_GB2312" w:cs="楷体_GB2312"/>
              <w:lang w:val="en-US" w:eastAsia="zh-CN"/>
            </w:rPr>
            <w:t>1</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2567DC22">
          <w:pPr>
            <w:pStyle w:val="14"/>
            <w:rPr>
              <w:rFonts w:ascii="Times New Roman" w:hAnsi="Times New Roman" w:eastAsiaTheme="minorEastAsia"/>
              <w:b w:val="0"/>
              <w:bCs/>
              <w:sz w:val="21"/>
              <w:szCs w:val="22"/>
            </w:rPr>
          </w:pPr>
          <w:r>
            <w:rPr>
              <w:b w:val="0"/>
              <w:bCs/>
            </w:rPr>
            <w:fldChar w:fldCharType="begin"/>
          </w:r>
          <w:r>
            <w:rPr>
              <w:b w:val="0"/>
              <w:bCs/>
            </w:rPr>
            <w:instrText xml:space="preserve"> HYPERLINK \l "_Toc114063708" </w:instrText>
          </w:r>
          <w:r>
            <w:rPr>
              <w:b w:val="0"/>
              <w:bCs/>
            </w:rPr>
            <w:fldChar w:fldCharType="separate"/>
          </w:r>
          <w:r>
            <w:rPr>
              <w:rStyle w:val="23"/>
              <w:rFonts w:ascii="Times New Roman" w:hAnsi="Times New Roman"/>
              <w:b w:val="0"/>
              <w:bCs/>
            </w:rPr>
            <w:t>七、加强水利重点领域改革，提高水利创新发展能力</w:t>
          </w:r>
          <w:r>
            <w:rPr>
              <w:rFonts w:ascii="Times New Roman" w:hAnsi="Times New Roman"/>
              <w:b w:val="0"/>
              <w:bCs/>
            </w:rPr>
            <w:tab/>
          </w:r>
          <w:r>
            <w:rPr>
              <w:rFonts w:ascii="Times New Roman" w:hAnsi="Times New Roman"/>
              <w:b w:val="0"/>
              <w:bCs/>
            </w:rPr>
            <w:fldChar w:fldCharType="begin"/>
          </w:r>
          <w:r>
            <w:rPr>
              <w:rFonts w:ascii="Times New Roman" w:hAnsi="Times New Roman"/>
              <w:b w:val="0"/>
              <w:bCs/>
            </w:rPr>
            <w:instrText xml:space="preserve"> PAGEREF _Toc114063708 \h </w:instrText>
          </w:r>
          <w:r>
            <w:rPr>
              <w:rFonts w:ascii="Times New Roman" w:hAnsi="Times New Roman"/>
              <w:b w:val="0"/>
              <w:bCs/>
            </w:rPr>
            <w:fldChar w:fldCharType="separate"/>
          </w:r>
          <w:r>
            <w:rPr>
              <w:rFonts w:ascii="Times New Roman" w:hAnsi="Times New Roman"/>
              <w:b w:val="0"/>
              <w:bCs/>
            </w:rPr>
            <w:t>3</w:t>
          </w:r>
          <w:r>
            <w:rPr>
              <w:rFonts w:hint="eastAsia" w:ascii="Times New Roman" w:hAnsi="Times New Roman"/>
              <w:b w:val="0"/>
              <w:bCs/>
              <w:lang w:val="en-US" w:eastAsia="zh-CN"/>
            </w:rPr>
            <w:t>2</w:t>
          </w:r>
          <w:r>
            <w:rPr>
              <w:rFonts w:ascii="Times New Roman" w:hAnsi="Times New Roman"/>
              <w:b w:val="0"/>
              <w:bCs/>
            </w:rPr>
            <w:fldChar w:fldCharType="end"/>
          </w:r>
          <w:r>
            <w:rPr>
              <w:rFonts w:ascii="Times New Roman" w:hAnsi="Times New Roman"/>
              <w:b w:val="0"/>
              <w:bCs/>
            </w:rPr>
            <w:fldChar w:fldCharType="end"/>
          </w:r>
        </w:p>
        <w:p w14:paraId="5B6EBD3F">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"_Toc114063709"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（一）深化价税改革</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_Toc114063709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w:t>
          </w:r>
          <w:r>
            <w:rPr>
              <w:rFonts w:hint="eastAsia" w:ascii="楷体_GB2312" w:hAnsi="楷体_GB2312" w:eastAsia="楷体_GB2312" w:cs="楷体_GB2312"/>
              <w:lang w:val="en-US" w:eastAsia="zh-CN"/>
            </w:rPr>
            <w:t>2</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267D82EA">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"_Toc114063713"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w:t>
          </w:r>
          <w:r>
            <w:rPr>
              <w:rStyle w:val="23"/>
              <w:rFonts w:hint="eastAsia" w:ascii="楷体_GB2312" w:hAnsi="楷体_GB2312" w:eastAsia="楷体_GB2312" w:cs="楷体_GB2312"/>
              <w:lang w:eastAsia="zh-CN"/>
            </w:rPr>
            <w:t>二</w:t>
          </w:r>
          <w:r>
            <w:rPr>
              <w:rStyle w:val="23"/>
              <w:rFonts w:hint="eastAsia" w:ascii="楷体_GB2312" w:hAnsi="楷体_GB2312" w:eastAsia="楷体_GB2312" w:cs="楷体_GB2312"/>
            </w:rPr>
            <w:t>）推进水利工程管理改革</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_Toc114063713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w:t>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418EB180">
          <w:pPr>
            <w:pStyle w:val="17"/>
            <w:tabs>
              <w:tab w:val="right" w:leader="dot" w:pos="8296"/>
            </w:tabs>
            <w:ind w:firstLine="640"/>
            <w:rPr>
              <w:rFonts w:eastAsia="楷体"/>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"_Toc114063716"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（三）深化水利投融资机制改革</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_Toc114063716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w:t>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rPr>
            <w:fldChar w:fldCharType="end"/>
          </w:r>
        </w:p>
        <w:p w14:paraId="681954C3">
          <w:pPr>
            <w:pStyle w:val="14"/>
            <w:rPr>
              <w:rFonts w:ascii="Times New Roman" w:hAnsi="Times New Roman" w:eastAsiaTheme="minorEastAsia"/>
              <w:b w:val="0"/>
              <w:bCs/>
              <w:sz w:val="21"/>
              <w:szCs w:val="22"/>
            </w:rPr>
          </w:pPr>
          <w:r>
            <w:rPr>
              <w:b w:val="0"/>
              <w:bCs/>
            </w:rPr>
            <w:fldChar w:fldCharType="begin"/>
          </w:r>
          <w:r>
            <w:rPr>
              <w:b w:val="0"/>
              <w:bCs/>
            </w:rPr>
            <w:instrText xml:space="preserve"> HYPERLINK \l "_Toc114063719" </w:instrText>
          </w:r>
          <w:r>
            <w:rPr>
              <w:b w:val="0"/>
              <w:bCs/>
            </w:rPr>
            <w:fldChar w:fldCharType="separate"/>
          </w:r>
          <w:r>
            <w:rPr>
              <w:rStyle w:val="23"/>
              <w:rFonts w:ascii="Times New Roman" w:hAnsi="Times New Roman"/>
              <w:b w:val="0"/>
              <w:bCs/>
            </w:rPr>
            <w:t>八、强化体制机制法治管理，提升水利治理能力和水平</w:t>
          </w:r>
          <w:r>
            <w:rPr>
              <w:rFonts w:ascii="Times New Roman" w:hAnsi="Times New Roman"/>
              <w:b w:val="0"/>
              <w:bCs/>
            </w:rPr>
            <w:tab/>
          </w:r>
          <w:r>
            <w:rPr>
              <w:rFonts w:hint="eastAsia" w:ascii="Times New Roman" w:hAnsi="Times New Roman"/>
              <w:b w:val="0"/>
              <w:bCs/>
              <w:lang w:val="en-US" w:eastAsia="zh-CN"/>
            </w:rPr>
            <w:t>3</w:t>
          </w:r>
          <w:r>
            <w:rPr>
              <w:rFonts w:ascii="Times New Roman" w:hAnsi="Times New Roman"/>
              <w:b w:val="0"/>
              <w:bCs/>
            </w:rPr>
            <w:fldChar w:fldCharType="end"/>
          </w:r>
          <w:r>
            <w:rPr>
              <w:rFonts w:hint="eastAsia" w:ascii="Times New Roman" w:hAnsi="Times New Roman"/>
              <w:b w:val="0"/>
              <w:bCs/>
              <w:lang w:val="en-US" w:eastAsia="zh-CN"/>
            </w:rPr>
            <w:t>5</w:t>
          </w:r>
        </w:p>
        <w:p w14:paraId="02723166">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"_Toc114063720"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（一）加强水利法治建设</w:t>
          </w:r>
          <w:r>
            <w:rPr>
              <w:rFonts w:hint="eastAsia" w:ascii="楷体_GB2312" w:hAnsi="楷体_GB2312" w:eastAsia="楷体_GB2312" w:cs="楷体_GB2312"/>
            </w:rPr>
            <w:tab/>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5</w:t>
          </w:r>
        </w:p>
        <w:p w14:paraId="2611789B">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"_Toc114063721"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（二）加强涉水事务监管</w:t>
          </w:r>
          <w:r>
            <w:rPr>
              <w:rFonts w:hint="eastAsia" w:ascii="楷体_GB2312" w:hAnsi="楷体_GB2312" w:eastAsia="楷体_GB2312" w:cs="楷体_GB2312"/>
            </w:rPr>
            <w:tab/>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5</w:t>
          </w:r>
        </w:p>
        <w:p w14:paraId="2785BB52">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"_Toc114063722"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（三）强化水安全风险防控</w:t>
          </w:r>
          <w:r>
            <w:rPr>
              <w:rFonts w:hint="eastAsia" w:ascii="楷体_GB2312" w:hAnsi="楷体_GB2312" w:eastAsia="楷体_GB2312" w:cs="楷体_GB2312"/>
            </w:rPr>
            <w:tab/>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6</w:t>
          </w:r>
        </w:p>
        <w:p w14:paraId="01F64B6A">
          <w:pPr>
            <w:pStyle w:val="17"/>
            <w:tabs>
              <w:tab w:val="right" w:leader="dot" w:pos="8296"/>
            </w:tabs>
            <w:ind w:firstLine="640"/>
            <w:rPr>
              <w:rFonts w:hint="eastAsia" w:ascii="楷体_GB2312" w:hAnsi="楷体_GB2312" w:eastAsia="楷体_GB2312" w:cs="楷体_GB2312"/>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"_Toc114063726"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（四）加强人才队伍建设</w:t>
          </w:r>
          <w:r>
            <w:rPr>
              <w:rFonts w:hint="eastAsia" w:ascii="楷体_GB2312" w:hAnsi="楷体_GB2312" w:eastAsia="楷体_GB2312" w:cs="楷体_GB2312"/>
            </w:rPr>
            <w:tab/>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7</w:t>
          </w:r>
        </w:p>
        <w:p w14:paraId="69B4D1A1">
          <w:pPr>
            <w:pStyle w:val="17"/>
            <w:tabs>
              <w:tab w:val="right" w:leader="dot" w:pos="8296"/>
            </w:tabs>
            <w:ind w:firstLine="640"/>
            <w:rPr>
              <w:rFonts w:eastAsia="楷体"/>
              <w:sz w:val="21"/>
            </w:rPr>
          </w:pP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HYPERLINK \l "_Toc114063727" </w:instrText>
          </w:r>
          <w:r>
            <w:rPr>
              <w:rFonts w:hint="eastAsia" w:ascii="楷体_GB2312" w:hAnsi="楷体_GB2312" w:eastAsia="楷体_GB2312" w:cs="楷体_GB2312"/>
            </w:rPr>
            <w:fldChar w:fldCharType="separate"/>
          </w:r>
          <w:r>
            <w:rPr>
              <w:rStyle w:val="23"/>
              <w:rFonts w:hint="eastAsia" w:ascii="楷体_GB2312" w:hAnsi="楷体_GB2312" w:eastAsia="楷体_GB2312" w:cs="楷体_GB2312"/>
            </w:rPr>
            <w:t>（五）强化水利科技支撑</w:t>
          </w:r>
          <w:r>
            <w:rPr>
              <w:rFonts w:hint="eastAsia" w:ascii="楷体_GB2312" w:hAnsi="楷体_GB2312" w:eastAsia="楷体_GB2312" w:cs="楷体_GB2312"/>
            </w:rPr>
            <w:tab/>
          </w:r>
          <w:r>
            <w:rPr>
              <w:rFonts w:hint="eastAsia" w:ascii="楷体_GB2312" w:hAnsi="楷体_GB2312" w:eastAsia="楷体_GB2312" w:cs="楷体_GB2312"/>
              <w:lang w:val="en-US" w:eastAsia="zh-CN"/>
            </w:rPr>
            <w:t>3</w:t>
          </w:r>
          <w:r>
            <w:rPr>
              <w:rFonts w:hint="eastAsia" w:ascii="楷体_GB2312" w:hAnsi="楷体_GB2312" w:eastAsia="楷体_GB2312" w:cs="楷体_GB2312"/>
            </w:rPr>
            <w:fldChar w:fldCharType="end"/>
          </w:r>
          <w:r>
            <w:rPr>
              <w:rFonts w:hint="eastAsia" w:ascii="楷体_GB2312" w:hAnsi="楷体_GB2312" w:eastAsia="楷体_GB2312" w:cs="楷体_GB2312"/>
              <w:lang w:val="en-US" w:eastAsia="zh-CN"/>
            </w:rPr>
            <w:t>9</w:t>
          </w:r>
        </w:p>
        <w:p w14:paraId="5EEDDF12">
          <w:pPr>
            <w:pStyle w:val="14"/>
            <w:rPr>
              <w:rFonts w:ascii="Times New Roman" w:hAnsi="Times New Roman" w:eastAsiaTheme="minorEastAsia"/>
              <w:b w:val="0"/>
              <w:bCs/>
              <w:sz w:val="21"/>
              <w:szCs w:val="22"/>
            </w:rPr>
          </w:pPr>
          <w:r>
            <w:rPr>
              <w:b w:val="0"/>
              <w:bCs/>
            </w:rPr>
            <w:fldChar w:fldCharType="begin"/>
          </w:r>
          <w:r>
            <w:rPr>
              <w:b w:val="0"/>
              <w:bCs/>
            </w:rPr>
            <w:instrText xml:space="preserve"> HYPERLINK \l "_Toc114063728" </w:instrText>
          </w:r>
          <w:r>
            <w:rPr>
              <w:b w:val="0"/>
              <w:bCs/>
            </w:rPr>
            <w:fldChar w:fldCharType="separate"/>
          </w:r>
          <w:r>
            <w:rPr>
              <w:rStyle w:val="23"/>
              <w:rFonts w:ascii="Times New Roman" w:hAnsi="Times New Roman"/>
              <w:b w:val="0"/>
              <w:bCs/>
            </w:rPr>
            <w:t>九、重大工程</w:t>
          </w:r>
          <w:r>
            <w:rPr>
              <w:rFonts w:ascii="Times New Roman" w:hAnsi="Times New Roman"/>
              <w:b w:val="0"/>
              <w:bCs/>
            </w:rPr>
            <w:tab/>
          </w:r>
          <w:r>
            <w:rPr>
              <w:rFonts w:ascii="Times New Roman" w:hAnsi="Times New Roman"/>
              <w:b w:val="0"/>
              <w:bCs/>
            </w:rPr>
            <w:fldChar w:fldCharType="begin"/>
          </w:r>
          <w:r>
            <w:rPr>
              <w:rFonts w:ascii="Times New Roman" w:hAnsi="Times New Roman"/>
              <w:b w:val="0"/>
              <w:bCs/>
            </w:rPr>
            <w:instrText xml:space="preserve"> PAGEREF _Toc114063728 \h </w:instrText>
          </w:r>
          <w:r>
            <w:rPr>
              <w:rFonts w:ascii="Times New Roman" w:hAnsi="Times New Roman"/>
              <w:b w:val="0"/>
              <w:bCs/>
            </w:rPr>
            <w:fldChar w:fldCharType="separate"/>
          </w:r>
          <w:r>
            <w:rPr>
              <w:rFonts w:ascii="Times New Roman" w:hAnsi="Times New Roman"/>
              <w:b w:val="0"/>
              <w:bCs/>
            </w:rPr>
            <w:t>4</w:t>
          </w:r>
          <w:r>
            <w:rPr>
              <w:rFonts w:hint="eastAsia" w:ascii="Times New Roman" w:hAnsi="Times New Roman"/>
              <w:b w:val="0"/>
              <w:bCs/>
              <w:lang w:val="en-US" w:eastAsia="zh-CN"/>
            </w:rPr>
            <w:t>0</w:t>
          </w:r>
          <w:r>
            <w:rPr>
              <w:rFonts w:ascii="Times New Roman" w:hAnsi="Times New Roman"/>
              <w:b w:val="0"/>
              <w:bCs/>
            </w:rPr>
            <w:fldChar w:fldCharType="end"/>
          </w:r>
          <w:r>
            <w:rPr>
              <w:rFonts w:ascii="Times New Roman" w:hAnsi="Times New Roman"/>
              <w:b w:val="0"/>
              <w:bCs/>
            </w:rPr>
            <w:fldChar w:fldCharType="end"/>
          </w:r>
        </w:p>
        <w:p w14:paraId="6126E2F4">
          <w:pPr>
            <w:pStyle w:val="14"/>
            <w:rPr>
              <w:rFonts w:ascii="Times New Roman" w:hAnsi="Times New Roman" w:eastAsiaTheme="minorEastAsia"/>
              <w:b w:val="0"/>
              <w:bCs/>
              <w:sz w:val="21"/>
              <w:szCs w:val="22"/>
            </w:rPr>
          </w:pPr>
          <w:r>
            <w:rPr>
              <w:b w:val="0"/>
              <w:bCs/>
            </w:rPr>
            <w:fldChar w:fldCharType="begin"/>
          </w:r>
          <w:r>
            <w:rPr>
              <w:b w:val="0"/>
              <w:bCs/>
            </w:rPr>
            <w:instrText xml:space="preserve"> HYPERLINK \l "_Toc114063731" </w:instrText>
          </w:r>
          <w:r>
            <w:rPr>
              <w:b w:val="0"/>
              <w:bCs/>
            </w:rPr>
            <w:fldChar w:fldCharType="separate"/>
          </w:r>
          <w:r>
            <w:rPr>
              <w:rStyle w:val="23"/>
              <w:rFonts w:ascii="Times New Roman" w:hAnsi="Times New Roman"/>
              <w:b w:val="0"/>
              <w:bCs/>
            </w:rPr>
            <w:t>十、投资匡算</w:t>
          </w:r>
          <w:r>
            <w:rPr>
              <w:rFonts w:ascii="Times New Roman" w:hAnsi="Times New Roman"/>
              <w:b w:val="0"/>
              <w:bCs/>
            </w:rPr>
            <w:tab/>
          </w:r>
          <w:r>
            <w:rPr>
              <w:rFonts w:hint="eastAsia" w:ascii="Times New Roman" w:hAnsi="Times New Roman"/>
              <w:b w:val="0"/>
              <w:bCs/>
              <w:lang w:val="en-US" w:eastAsia="zh-CN"/>
            </w:rPr>
            <w:t>4</w:t>
          </w:r>
          <w:r>
            <w:rPr>
              <w:rFonts w:ascii="Times New Roman" w:hAnsi="Times New Roman"/>
              <w:b w:val="0"/>
              <w:bCs/>
            </w:rPr>
            <w:fldChar w:fldCharType="end"/>
          </w:r>
          <w:r>
            <w:rPr>
              <w:rFonts w:hint="eastAsia" w:ascii="Times New Roman" w:hAnsi="Times New Roman"/>
              <w:b w:val="0"/>
              <w:bCs/>
              <w:lang w:val="en-US" w:eastAsia="zh-CN"/>
            </w:rPr>
            <w:t>6</w:t>
          </w:r>
        </w:p>
        <w:p w14:paraId="3160DB81">
          <w:pPr>
            <w:pStyle w:val="14"/>
            <w:rPr>
              <w:rFonts w:ascii="Times New Roman" w:hAnsi="Times New Roman" w:eastAsiaTheme="minorEastAsia"/>
              <w:b w:val="0"/>
              <w:bCs/>
              <w:sz w:val="21"/>
              <w:szCs w:val="22"/>
            </w:rPr>
          </w:pPr>
          <w:r>
            <w:rPr>
              <w:b w:val="0"/>
              <w:bCs/>
            </w:rPr>
            <w:fldChar w:fldCharType="begin"/>
          </w:r>
          <w:r>
            <w:rPr>
              <w:b w:val="0"/>
              <w:bCs/>
            </w:rPr>
            <w:instrText xml:space="preserve"> HYPERLINK \l "_Toc114063735" </w:instrText>
          </w:r>
          <w:r>
            <w:rPr>
              <w:b w:val="0"/>
              <w:bCs/>
            </w:rPr>
            <w:fldChar w:fldCharType="separate"/>
          </w:r>
          <w:r>
            <w:rPr>
              <w:rStyle w:val="23"/>
              <w:rFonts w:ascii="Times New Roman" w:hAnsi="Times New Roman"/>
              <w:b w:val="0"/>
              <w:bCs/>
            </w:rPr>
            <w:t>十一、保障措施</w:t>
          </w:r>
          <w:r>
            <w:rPr>
              <w:rFonts w:ascii="Times New Roman" w:hAnsi="Times New Roman"/>
              <w:b w:val="0"/>
              <w:bCs/>
            </w:rPr>
            <w:tab/>
          </w:r>
          <w:r>
            <w:rPr>
              <w:rFonts w:hint="eastAsia" w:ascii="Times New Roman" w:hAnsi="Times New Roman"/>
              <w:b w:val="0"/>
              <w:bCs/>
              <w:lang w:val="en-US" w:eastAsia="zh-CN"/>
            </w:rPr>
            <w:t>4</w:t>
          </w:r>
          <w:r>
            <w:rPr>
              <w:rFonts w:ascii="Times New Roman" w:hAnsi="Times New Roman"/>
              <w:b w:val="0"/>
              <w:bCs/>
            </w:rPr>
            <w:fldChar w:fldCharType="end"/>
          </w:r>
          <w:r>
            <w:rPr>
              <w:rFonts w:hint="eastAsia" w:ascii="Times New Roman" w:hAnsi="Times New Roman"/>
              <w:b w:val="0"/>
              <w:bCs/>
              <w:lang w:val="en-US" w:eastAsia="zh-CN"/>
            </w:rPr>
            <w:t>8</w:t>
          </w:r>
        </w:p>
        <w:p w14:paraId="632C5717">
          <w:pPr>
            <w:pStyle w:val="14"/>
            <w:rPr>
              <w:rFonts w:ascii="Times New Roman" w:hAnsi="Times New Roman" w:eastAsiaTheme="minorEastAsia"/>
              <w:b w:val="0"/>
              <w:sz w:val="21"/>
              <w:szCs w:val="22"/>
            </w:rPr>
          </w:pPr>
          <w:r>
            <w:rPr>
              <w:b w:val="0"/>
              <w:bCs/>
            </w:rPr>
            <w:fldChar w:fldCharType="begin"/>
          </w:r>
          <w:r>
            <w:rPr>
              <w:b w:val="0"/>
              <w:bCs/>
            </w:rPr>
            <w:instrText xml:space="preserve"> HYPERLINK \l "_Toc114063741" </w:instrText>
          </w:r>
          <w:r>
            <w:rPr>
              <w:b w:val="0"/>
              <w:bCs/>
            </w:rPr>
            <w:fldChar w:fldCharType="separate"/>
          </w:r>
          <w:r>
            <w:rPr>
              <w:rStyle w:val="23"/>
              <w:rFonts w:ascii="Times New Roman" w:hAnsi="Times New Roman"/>
              <w:b w:val="0"/>
              <w:bCs/>
            </w:rPr>
            <w:t>附表1  昌都市“十四五”水安全保障规划项目库</w:t>
          </w:r>
          <w:r>
            <w:rPr>
              <w:rFonts w:ascii="Times New Roman" w:hAnsi="Times New Roman"/>
              <w:b w:val="0"/>
              <w:bCs/>
            </w:rPr>
            <w:tab/>
          </w:r>
          <w:r>
            <w:rPr>
              <w:rFonts w:ascii="Times New Roman" w:hAnsi="Times New Roman"/>
              <w:b w:val="0"/>
              <w:bCs/>
            </w:rPr>
            <w:fldChar w:fldCharType="begin"/>
          </w:r>
          <w:r>
            <w:rPr>
              <w:rFonts w:ascii="Times New Roman" w:hAnsi="Times New Roman"/>
              <w:b w:val="0"/>
              <w:bCs/>
            </w:rPr>
            <w:instrText xml:space="preserve"> PAGEREF _Toc114063741 \h </w:instrText>
          </w:r>
          <w:r>
            <w:rPr>
              <w:rFonts w:ascii="Times New Roman" w:hAnsi="Times New Roman"/>
              <w:b w:val="0"/>
              <w:bCs/>
            </w:rPr>
            <w:fldChar w:fldCharType="separate"/>
          </w:r>
          <w:r>
            <w:rPr>
              <w:rFonts w:ascii="Times New Roman" w:hAnsi="Times New Roman"/>
              <w:b w:val="0"/>
              <w:bCs/>
            </w:rPr>
            <w:t>5</w:t>
          </w:r>
          <w:r>
            <w:rPr>
              <w:rFonts w:hint="eastAsia" w:ascii="Times New Roman" w:hAnsi="Times New Roman"/>
              <w:b w:val="0"/>
              <w:bCs/>
              <w:lang w:val="en-US" w:eastAsia="zh-CN"/>
            </w:rPr>
            <w:t>0</w:t>
          </w:r>
          <w:r>
            <w:rPr>
              <w:rFonts w:ascii="Times New Roman" w:hAnsi="Times New Roman"/>
              <w:b w:val="0"/>
              <w:bCs/>
            </w:rPr>
            <w:fldChar w:fldCharType="end"/>
          </w:r>
          <w:r>
            <w:rPr>
              <w:rFonts w:ascii="Times New Roman" w:hAnsi="Times New Roman"/>
              <w:b w:val="0"/>
              <w:bCs/>
            </w:rPr>
            <w:fldChar w:fldCharType="end"/>
          </w:r>
        </w:p>
        <w:p w14:paraId="1A868E71">
          <w:pPr>
            <w:spacing w:line="320" w:lineRule="exact"/>
            <w:rPr>
              <w:rFonts w:ascii="Times New Roman" w:hAnsi="Times New Roman" w:cs="Times New Roman"/>
            </w:rPr>
          </w:pPr>
          <w:r>
            <w:rPr>
              <w:rFonts w:ascii="Times New Roman" w:hAnsi="Times New Roman" w:eastAsia="楷体" w:cs="Times New Roman"/>
              <w:b/>
              <w:bCs/>
              <w:sz w:val="28"/>
              <w:szCs w:val="28"/>
              <w:lang w:val="zh-CN"/>
            </w:rPr>
            <w:fldChar w:fldCharType="end"/>
          </w:r>
        </w:p>
      </w:sdtContent>
    </w:sdt>
    <w:p w14:paraId="7D980D93">
      <w:pPr>
        <w:pStyle w:val="29"/>
        <w:pageBreakBefore w:val="0"/>
        <w:widowControl w:val="0"/>
        <w:kinsoku/>
        <w:wordWrap/>
        <w:overflowPunct/>
        <w:topLinePunct w:val="0"/>
        <w:autoSpaceDE/>
        <w:autoSpaceDN/>
        <w:bidi w:val="0"/>
        <w:spacing w:line="576" w:lineRule="exact"/>
        <w:ind w:firstLine="600" w:firstLineChars="200"/>
        <w:textAlignment w:val="auto"/>
        <w:sectPr>
          <w:footerReference r:id="rId6" w:type="default"/>
          <w:pgSz w:w="11906" w:h="16838"/>
          <w:pgMar w:top="2098" w:right="1474" w:bottom="1984" w:left="1531" w:header="851" w:footer="992" w:gutter="0"/>
          <w:pgNumType w:fmt="decimal"/>
          <w:cols w:space="425" w:num="1"/>
          <w:docGrid w:type="lines" w:linePitch="312" w:charSpace="0"/>
        </w:sectPr>
      </w:pPr>
      <w:bookmarkStart w:id="0" w:name="_Toc114063666"/>
    </w:p>
    <w:p w14:paraId="6579B7ED">
      <w:pPr>
        <w:pStyle w:val="29"/>
        <w:pageBreakBefore w:val="0"/>
        <w:widowControl w:val="0"/>
        <w:kinsoku/>
        <w:wordWrap/>
        <w:overflowPunct/>
        <w:topLinePunct w:val="0"/>
        <w:autoSpaceDE/>
        <w:autoSpaceDN/>
        <w:bidi w:val="0"/>
        <w:spacing w:line="576" w:lineRule="exact"/>
        <w:ind w:firstLine="640" w:firstLineChars="200"/>
        <w:textAlignment w:val="auto"/>
        <w:rPr>
          <w:sz w:val="32"/>
          <w:szCs w:val="32"/>
        </w:rPr>
      </w:pPr>
      <w:r>
        <w:rPr>
          <w:sz w:val="32"/>
          <w:szCs w:val="32"/>
        </w:rPr>
        <w:t>一、现状与形势</w:t>
      </w:r>
      <w:bookmarkEnd w:id="0"/>
    </w:p>
    <w:p w14:paraId="4CDCE5D1">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val="0"/>
          <w:bCs/>
          <w:sz w:val="32"/>
          <w:szCs w:val="32"/>
        </w:rPr>
      </w:pPr>
      <w:bookmarkStart w:id="1" w:name="_Toc114063667"/>
      <w:r>
        <w:rPr>
          <w:rFonts w:hint="eastAsia" w:ascii="楷体_GB2312" w:hAnsi="楷体_GB2312" w:eastAsia="楷体_GB2312" w:cs="楷体_GB2312"/>
          <w:b/>
          <w:bCs w:val="0"/>
          <w:sz w:val="32"/>
          <w:szCs w:val="32"/>
        </w:rPr>
        <w:t>（一）区域基本情况</w:t>
      </w:r>
      <w:bookmarkEnd w:id="1"/>
    </w:p>
    <w:p w14:paraId="0A95DC77">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2"/>
        </w:rPr>
      </w:pPr>
      <w:bookmarkStart w:id="2" w:name="_Toc114063668"/>
      <w:bookmarkStart w:id="3" w:name="_Toc113972122"/>
      <w:bookmarkStart w:id="4" w:name="_Toc78187418"/>
      <w:bookmarkStart w:id="5" w:name="_Toc78187567"/>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地理位置</w:t>
      </w:r>
      <w:bookmarkEnd w:id="2"/>
      <w:bookmarkEnd w:id="3"/>
      <w:bookmarkEnd w:id="4"/>
      <w:bookmarkEnd w:id="5"/>
    </w:p>
    <w:p w14:paraId="7CB5E3B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昌都市地处横断山脉和三江（金沙江、澜沧江、怒江）流域，位于西藏东部，处在西藏与四川、青海、云南交界的咽喉部位，是川藏公路和滇藏公路的必经之地，也是“茶马古道”的要地。以昌都为中心，东与四川省相望，东南面与云南省接壤，西南面与西藏林芝市毗邻，西北与西藏那曲市相连，北面与青海省交界，西望西藏自治区首府拉萨市，处在商贸往来的枢纽地位，素有“藏东明珠”的</w:t>
      </w:r>
      <w:r>
        <w:rPr>
          <w:rFonts w:hint="eastAsia" w:ascii="仿宋_GB2312" w:hAnsi="仿宋_GB2312" w:eastAsia="仿宋_GB2312" w:cs="仿宋_GB2312"/>
          <w:sz w:val="32"/>
          <w:szCs w:val="32"/>
          <w:lang w:val="en-US" w:eastAsia="zh-CN"/>
        </w:rPr>
        <w:t>称号</w:t>
      </w:r>
      <w:r>
        <w:rPr>
          <w:rFonts w:hint="eastAsia" w:ascii="仿宋_GB2312" w:hAnsi="仿宋_GB2312" w:eastAsia="仿宋_GB2312" w:cs="仿宋_GB2312"/>
          <w:sz w:val="32"/>
          <w:szCs w:val="32"/>
        </w:rPr>
        <w:t>。</w:t>
      </w:r>
    </w:p>
    <w:p w14:paraId="66E414EA">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2"/>
        </w:rPr>
      </w:pPr>
      <w:bookmarkStart w:id="6" w:name="_Toc78187568"/>
      <w:bookmarkStart w:id="7" w:name="_Toc113972123"/>
      <w:bookmarkStart w:id="8" w:name="_Toc114063669"/>
      <w:bookmarkStart w:id="9" w:name="_Toc78187419"/>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地形地貌</w:t>
      </w:r>
      <w:bookmarkEnd w:id="6"/>
      <w:bookmarkEnd w:id="7"/>
      <w:bookmarkEnd w:id="8"/>
      <w:bookmarkEnd w:id="9"/>
    </w:p>
    <w:p w14:paraId="555A7C5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昌都</w:t>
      </w:r>
      <w:r>
        <w:rPr>
          <w:rFonts w:hint="eastAsia" w:ascii="仿宋_GB2312" w:hAnsi="仿宋_GB2312" w:eastAsia="仿宋_GB2312" w:cs="仿宋_GB2312"/>
          <w:sz w:val="32"/>
          <w:szCs w:val="32"/>
        </w:rPr>
        <w:t>地势西北部高，东南部低，最高海拔为5460</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rPr>
        <w:t>，最低海拔约3100</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rPr>
        <w:t>，平均海拔3500</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rPr>
        <w:t>以上。西北部山体较完整，分水岭地区保存着宽广的高原面。东南部山体被切割成星罗棋布状。谷地由北向南逐步加深，岭谷栉比，河谷深切，仅有零星残存的高原面。高原主要分布在他念他翁山北段和宁静山，海拔在4000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4500</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rPr>
        <w:t>以上；在北纬30°以南，为典型的高山峡谷区，河谷底海拔2500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3500</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rPr>
        <w:t>，最低处是芒康县的金沙江河谷，海拔为2296</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rPr>
        <w:t>。</w:t>
      </w:r>
    </w:p>
    <w:p w14:paraId="469774CC">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sz w:val="32"/>
          <w:szCs w:val="32"/>
        </w:rPr>
        <w:t>昌都山脉为南北走向，三条大江与三列山脉相间分布，平行骈走。从西向东依次是伯舒拉岭、怒江；他念他翁山、澜沧江；达玛拉山－宁静山、金沙江。山脉海拔多在4000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5000</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rPr>
        <w:t>左右，山脉之间有深邃的河谷，山岭与河谷的高差达10</w:t>
      </w:r>
      <w:r>
        <w:rPr>
          <w:rFonts w:hint="eastAsia" w:ascii="仿宋_GB2312" w:hAnsi="仿宋_GB2312" w:eastAsia="仿宋_GB2312" w:cs="仿宋_GB2312"/>
        </w:rPr>
        <w:t>00</w:t>
      </w:r>
      <w:r>
        <w:rPr>
          <w:rFonts w:hint="eastAsia" w:ascii="仿宋_GB2312" w:hAnsi="仿宋_GB2312" w:eastAsia="仿宋_GB2312" w:cs="仿宋_GB2312"/>
          <w:lang w:eastAsia="zh-CN"/>
        </w:rPr>
        <w:t>—</w:t>
      </w:r>
      <w:r>
        <w:rPr>
          <w:rFonts w:hint="eastAsia" w:ascii="仿宋_GB2312" w:hAnsi="仿宋_GB2312" w:eastAsia="仿宋_GB2312" w:cs="仿宋_GB2312"/>
        </w:rPr>
        <w:t>2000</w:t>
      </w:r>
      <w:r>
        <w:rPr>
          <w:rFonts w:hint="eastAsia" w:ascii="仿宋_GB2312" w:hAnsi="仿宋_GB2312" w:eastAsia="仿宋_GB2312" w:cs="仿宋_GB2312"/>
          <w:lang w:eastAsia="zh-CN"/>
        </w:rPr>
        <w:t>米</w:t>
      </w:r>
      <w:r>
        <w:rPr>
          <w:rFonts w:hint="eastAsia" w:ascii="仿宋_GB2312" w:hAnsi="仿宋_GB2312" w:eastAsia="仿宋_GB2312" w:cs="仿宋_GB2312"/>
        </w:rPr>
        <w:t>，自然地貌和地形结构独特。</w:t>
      </w:r>
    </w:p>
    <w:p w14:paraId="6F939326">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2"/>
        </w:rPr>
      </w:pPr>
      <w:bookmarkStart w:id="10" w:name="_Toc114063670"/>
      <w:bookmarkStart w:id="11" w:name="_Toc113972124"/>
      <w:bookmarkStart w:id="12" w:name="_Toc78187420"/>
      <w:bookmarkStart w:id="13" w:name="_Toc78187569"/>
      <w:r>
        <w:rPr>
          <w:rFonts w:hint="eastAsia" w:ascii="仿宋_GB2312" w:hAnsi="仿宋_GB2312" w:eastAsia="仿宋_GB2312" w:cs="仿宋_GB2312"/>
          <w:b/>
          <w:bCs/>
          <w:sz w:val="32"/>
          <w:szCs w:val="32"/>
        </w:rPr>
        <w:t>3</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气候情况</w:t>
      </w:r>
      <w:bookmarkEnd w:id="10"/>
      <w:bookmarkEnd w:id="11"/>
      <w:bookmarkEnd w:id="12"/>
      <w:bookmarkEnd w:id="13"/>
    </w:p>
    <w:p w14:paraId="37056A89">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highlight w:val="none"/>
          <w:u w:val="none"/>
        </w:rPr>
        <w:t>昌都属高原</w:t>
      </w:r>
      <w:r>
        <w:rPr>
          <w:rFonts w:hint="eastAsia" w:ascii="仿宋_GB2312" w:hAnsi="仿宋_GB2312" w:eastAsia="仿宋_GB2312" w:cs="仿宋_GB2312"/>
          <w:highlight w:val="none"/>
          <w:u w:val="none"/>
          <w:lang w:eastAsia="zh-CN"/>
        </w:rPr>
        <w:t>大陆性</w:t>
      </w:r>
      <w:r>
        <w:rPr>
          <w:rFonts w:hint="eastAsia" w:ascii="仿宋_GB2312" w:hAnsi="仿宋_GB2312" w:eastAsia="仿宋_GB2312" w:cs="仿宋_GB2312"/>
          <w:highlight w:val="none"/>
          <w:u w:val="none"/>
        </w:rPr>
        <w:t>气候，</w:t>
      </w:r>
      <w:r>
        <w:rPr>
          <w:rFonts w:hint="eastAsia" w:ascii="仿宋_GB2312" w:hAnsi="仿宋_GB2312" w:eastAsia="仿宋_GB2312" w:cs="仿宋_GB2312"/>
        </w:rPr>
        <w:t>西北部、北部严寒干燥，东南部温和湿润。由于山高谷深，地形复杂，故有“一山有四季、十里不同天”的高原气候特征。日照时间长，</w:t>
      </w:r>
      <w:r>
        <w:rPr>
          <w:rFonts w:hint="eastAsia" w:ascii="仿宋_GB2312" w:hAnsi="仿宋_GB2312" w:eastAsia="仿宋_GB2312" w:cs="仿宋_GB2312"/>
          <w:lang w:val="en-US" w:eastAsia="zh-CN"/>
        </w:rPr>
        <w:t>太阳</w:t>
      </w:r>
      <w:r>
        <w:rPr>
          <w:rFonts w:hint="eastAsia" w:ascii="仿宋_GB2312" w:hAnsi="仿宋_GB2312" w:eastAsia="仿宋_GB2312" w:cs="仿宋_GB2312"/>
        </w:rPr>
        <w:t>辐射强，各地平均年日照时数在2180</w:t>
      </w:r>
      <w:r>
        <w:rPr>
          <w:rFonts w:hint="eastAsia" w:ascii="仿宋_GB2312" w:hAnsi="仿宋_GB2312" w:eastAsia="仿宋_GB2312" w:cs="仿宋_GB2312"/>
          <w:lang w:eastAsia="zh-CN"/>
        </w:rPr>
        <w:t>—</w:t>
      </w:r>
      <w:r>
        <w:rPr>
          <w:rFonts w:hint="eastAsia" w:ascii="仿宋_GB2312" w:hAnsi="仿宋_GB2312" w:eastAsia="仿宋_GB2312" w:cs="仿宋_GB2312"/>
        </w:rPr>
        <w:t>2700小时之间，太阳总辐射量在5800</w:t>
      </w:r>
      <w:r>
        <w:rPr>
          <w:rFonts w:hint="eastAsia" w:ascii="仿宋_GB2312" w:hAnsi="仿宋_GB2312" w:eastAsia="仿宋_GB2312" w:cs="仿宋_GB2312"/>
          <w:lang w:val="en-US" w:eastAsia="zh-CN"/>
        </w:rPr>
        <w:t>-</w:t>
      </w:r>
      <w:r>
        <w:rPr>
          <w:rFonts w:hint="eastAsia" w:ascii="仿宋_GB2312" w:hAnsi="仿宋_GB2312" w:eastAsia="仿宋_GB2312" w:cs="仿宋_GB2312"/>
        </w:rPr>
        <w:t>7000×106</w:t>
      </w:r>
      <w:r>
        <w:rPr>
          <w:rFonts w:hint="eastAsia" w:ascii="仿宋_GB2312" w:hAnsi="仿宋_GB2312" w:eastAsia="仿宋_GB2312" w:cs="仿宋_GB2312"/>
          <w:lang w:eastAsia="zh-CN"/>
        </w:rPr>
        <w:t>焦</w:t>
      </w:r>
      <w:r>
        <w:rPr>
          <w:rFonts w:hint="eastAsia" w:ascii="仿宋_GB2312" w:hAnsi="仿宋_GB2312" w:eastAsia="仿宋_GB2312" w:cs="仿宋_GB2312"/>
        </w:rPr>
        <w:t>/</w:t>
      </w:r>
      <w:r>
        <w:rPr>
          <w:rFonts w:hint="eastAsia" w:ascii="仿宋_GB2312" w:hAnsi="仿宋_GB2312" w:eastAsia="仿宋_GB2312" w:cs="仿宋_GB2312"/>
          <w:lang w:eastAsia="zh-CN"/>
        </w:rPr>
        <w:t>平方米</w:t>
      </w:r>
      <w:r>
        <w:rPr>
          <w:rFonts w:hint="eastAsia" w:ascii="仿宋_GB2312" w:hAnsi="仿宋_GB2312" w:eastAsia="仿宋_GB2312" w:cs="仿宋_GB2312"/>
        </w:rPr>
        <w:t>之间。年温差小，日温差大，年平均气温在7.6℃，温度随地势高度而异。年降雨量在400</w:t>
      </w:r>
      <w:r>
        <w:rPr>
          <w:rFonts w:hint="eastAsia" w:ascii="仿宋_GB2312" w:hAnsi="仿宋_GB2312" w:eastAsia="仿宋_GB2312" w:cs="仿宋_GB2312"/>
          <w:lang w:eastAsia="zh-CN"/>
        </w:rPr>
        <w:t>—</w:t>
      </w:r>
      <w:r>
        <w:rPr>
          <w:rFonts w:hint="eastAsia" w:ascii="仿宋_GB2312" w:hAnsi="仿宋_GB2312" w:eastAsia="仿宋_GB2312" w:cs="仿宋_GB2312"/>
        </w:rPr>
        <w:t>600毫米，来自印度洋的西南季风影响，降水大多集中在夏季5</w:t>
      </w:r>
      <w:r>
        <w:rPr>
          <w:rFonts w:hint="eastAsia" w:ascii="仿宋_GB2312" w:hAnsi="仿宋_GB2312" w:eastAsia="仿宋_GB2312" w:cs="仿宋_GB2312"/>
          <w:lang w:val="en-US" w:eastAsia="zh-CN"/>
        </w:rPr>
        <w:t>-</w:t>
      </w:r>
      <w:r>
        <w:rPr>
          <w:rFonts w:hint="eastAsia" w:ascii="仿宋_GB2312" w:hAnsi="仿宋_GB2312" w:eastAsia="仿宋_GB2312" w:cs="仿宋_GB2312"/>
        </w:rPr>
        <w:t>9月份，</w:t>
      </w:r>
      <w:r>
        <w:rPr>
          <w:rFonts w:hint="eastAsia" w:ascii="仿宋_GB2312" w:hAnsi="仿宋_GB2312" w:eastAsia="仿宋_GB2312" w:cs="仿宋_GB2312"/>
          <w:highlight w:val="none"/>
        </w:rPr>
        <w:t>该时段的降水量约占全年降水量的85%左右，</w:t>
      </w:r>
      <w:r>
        <w:rPr>
          <w:rFonts w:hint="eastAsia" w:ascii="仿宋_GB2312" w:hAnsi="仿宋_GB2312" w:eastAsia="仿宋_GB2312" w:cs="仿宋_GB2312"/>
        </w:rPr>
        <w:t>北部降水偏多，年降水量在550</w:t>
      </w:r>
      <w:r>
        <w:rPr>
          <w:rFonts w:hint="eastAsia" w:ascii="仿宋_GB2312" w:hAnsi="仿宋_GB2312" w:eastAsia="仿宋_GB2312" w:cs="仿宋_GB2312"/>
          <w:lang w:eastAsia="zh-CN"/>
        </w:rPr>
        <w:t>—</w:t>
      </w:r>
      <w:r>
        <w:rPr>
          <w:rFonts w:hint="eastAsia" w:ascii="仿宋_GB2312" w:hAnsi="仿宋_GB2312" w:eastAsia="仿宋_GB2312" w:cs="仿宋_GB2312"/>
        </w:rPr>
        <w:t>630毫米之间，中部河谷地带降水量较小，年降水量约为400</w:t>
      </w:r>
      <w:r>
        <w:rPr>
          <w:rFonts w:hint="eastAsia" w:ascii="仿宋_GB2312" w:hAnsi="仿宋_GB2312" w:eastAsia="仿宋_GB2312" w:cs="仿宋_GB2312"/>
          <w:lang w:eastAsia="zh-CN"/>
        </w:rPr>
        <w:t>—</w:t>
      </w:r>
      <w:r>
        <w:rPr>
          <w:rFonts w:hint="eastAsia" w:ascii="仿宋_GB2312" w:hAnsi="仿宋_GB2312" w:eastAsia="仿宋_GB2312" w:cs="仿宋_GB2312"/>
        </w:rPr>
        <w:t>530毫米，且</w:t>
      </w:r>
      <w:r>
        <w:rPr>
          <w:rFonts w:hint="eastAsia" w:ascii="仿宋_GB2312" w:hAnsi="仿宋_GB2312" w:eastAsia="仿宋_GB2312" w:cs="仿宋_GB2312"/>
          <w:lang w:eastAsia="zh-CN"/>
        </w:rPr>
        <w:t>78％—90％</w:t>
      </w:r>
      <w:r>
        <w:rPr>
          <w:rFonts w:hint="eastAsia" w:ascii="仿宋_GB2312" w:hAnsi="仿宋_GB2312" w:eastAsia="仿宋_GB2312" w:cs="仿宋_GB2312"/>
        </w:rPr>
        <w:t>都集中在5</w:t>
      </w:r>
      <w:r>
        <w:rPr>
          <w:rFonts w:hint="eastAsia" w:ascii="仿宋_GB2312" w:hAnsi="仿宋_GB2312" w:eastAsia="仿宋_GB2312" w:cs="仿宋_GB2312"/>
          <w:lang w:val="en-US" w:eastAsia="zh-CN"/>
        </w:rPr>
        <w:t>-</w:t>
      </w:r>
      <w:r>
        <w:rPr>
          <w:rFonts w:hint="eastAsia" w:ascii="仿宋_GB2312" w:hAnsi="仿宋_GB2312" w:eastAsia="仿宋_GB2312" w:cs="仿宋_GB2312"/>
        </w:rPr>
        <w:t>9月，以6</w:t>
      </w:r>
      <w:r>
        <w:rPr>
          <w:rFonts w:hint="eastAsia" w:ascii="仿宋_GB2312" w:hAnsi="仿宋_GB2312" w:eastAsia="仿宋_GB2312" w:cs="仿宋_GB2312"/>
          <w:lang w:val="en-US" w:eastAsia="zh-CN"/>
        </w:rPr>
        <w:t>-</w:t>
      </w:r>
      <w:r>
        <w:rPr>
          <w:rFonts w:hint="eastAsia" w:ascii="仿宋_GB2312" w:hAnsi="仿宋_GB2312" w:eastAsia="仿宋_GB2312" w:cs="仿宋_GB2312"/>
        </w:rPr>
        <w:t>8月最为集中。</w:t>
      </w:r>
    </w:p>
    <w:p w14:paraId="4F8CD823">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2"/>
          <w:lang w:val="en-US" w:eastAsia="zh-CN"/>
        </w:rPr>
      </w:pPr>
      <w:bookmarkStart w:id="14" w:name="_Toc78187421"/>
      <w:bookmarkStart w:id="15" w:name="_Toc113972125"/>
      <w:bookmarkStart w:id="16" w:name="_Toc114063671"/>
      <w:bookmarkStart w:id="17" w:name="_Toc78187570"/>
      <w:r>
        <w:rPr>
          <w:rFonts w:hint="eastAsia" w:ascii="仿宋_GB2312" w:hAnsi="仿宋_GB2312" w:eastAsia="仿宋_GB2312" w:cs="仿宋_GB2312"/>
          <w:b/>
          <w:bCs/>
          <w:sz w:val="32"/>
          <w:szCs w:val="32"/>
        </w:rPr>
        <w:t>4</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河流湖泊</w:t>
      </w:r>
      <w:bookmarkEnd w:id="14"/>
      <w:bookmarkEnd w:id="15"/>
      <w:bookmarkEnd w:id="16"/>
      <w:bookmarkEnd w:id="17"/>
      <w:r>
        <w:rPr>
          <w:rFonts w:hint="eastAsia" w:ascii="仿宋_GB2312" w:hAnsi="仿宋_GB2312" w:eastAsia="仿宋_GB2312" w:cs="仿宋_GB2312"/>
          <w:b/>
          <w:bCs/>
          <w:sz w:val="32"/>
          <w:szCs w:val="32"/>
          <w:lang w:val="en-US" w:eastAsia="zh-CN"/>
        </w:rPr>
        <w:t>冰川</w:t>
      </w:r>
    </w:p>
    <w:p w14:paraId="14C96CA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（1）河流</w:t>
      </w:r>
    </w:p>
    <w:p w14:paraId="2386C098">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昌都市</w:t>
      </w:r>
      <w:r>
        <w:rPr>
          <w:rFonts w:hint="eastAsia" w:ascii="仿宋_GB2312" w:hAnsi="仿宋_GB2312" w:eastAsia="仿宋_GB2312" w:cs="仿宋_GB2312"/>
          <w:lang w:val="en-US" w:eastAsia="zh-CN"/>
        </w:rPr>
        <w:t>地处</w:t>
      </w:r>
      <w:r>
        <w:rPr>
          <w:rFonts w:hint="eastAsia" w:ascii="仿宋_GB2312" w:hAnsi="仿宋_GB2312" w:eastAsia="仿宋_GB2312" w:cs="仿宋_GB2312"/>
        </w:rPr>
        <w:t>怒江、澜沧江、金沙江三江并流的横断山脉腹地，“三江”流域的中上游，三江从北和北西迂回南下，纵贯全市。金沙江居东为长江上游，澜沧江居中为湄公河的上游，</w:t>
      </w:r>
      <w:r>
        <w:rPr>
          <w:rFonts w:hint="eastAsia" w:ascii="仿宋_GB2312" w:hAnsi="仿宋_GB2312" w:eastAsia="仿宋_GB2312" w:cs="仿宋_GB2312"/>
          <w:lang w:eastAsia="zh-CN"/>
        </w:rPr>
        <w:t>怒江</w:t>
      </w:r>
      <w:r>
        <w:rPr>
          <w:rFonts w:hint="eastAsia" w:ascii="仿宋_GB2312" w:hAnsi="仿宋_GB2312" w:eastAsia="仿宋_GB2312" w:cs="仿宋_GB2312"/>
        </w:rPr>
        <w:t>最西为萨尔温江上游。汇入三江的主要支流多与干流平行，形成岭谷相间的格局，众多小支流多以取锐角形式与干流或主要支流汇合，组成密集的羽状江河网。</w:t>
      </w:r>
    </w:p>
    <w:p w14:paraId="48B14E26">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金沙江发源于青海境内唐古拉山脉的格拉丹冬雪山北麓，流域面积50万</w:t>
      </w:r>
      <w:r>
        <w:rPr>
          <w:rFonts w:hint="eastAsia" w:ascii="仿宋_GB2312" w:hAnsi="仿宋_GB2312" w:eastAsia="仿宋_GB2312" w:cs="仿宋_GB2312"/>
          <w:lang w:eastAsia="zh-CN"/>
        </w:rPr>
        <w:t>平方公里</w:t>
      </w:r>
      <w:r>
        <w:rPr>
          <w:rFonts w:hint="eastAsia" w:ascii="仿宋_GB2312" w:hAnsi="仿宋_GB2312" w:eastAsia="仿宋_GB2312" w:cs="仿宋_GB2312"/>
        </w:rPr>
        <w:t>，干流全长3500</w:t>
      </w:r>
      <w:r>
        <w:rPr>
          <w:rFonts w:hint="eastAsia" w:ascii="仿宋_GB2312" w:hAnsi="仿宋_GB2312" w:eastAsia="仿宋_GB2312" w:cs="仿宋_GB2312"/>
          <w:lang w:eastAsia="zh-CN"/>
        </w:rPr>
        <w:t>公里</w:t>
      </w:r>
      <w:r>
        <w:rPr>
          <w:rFonts w:hint="eastAsia" w:ascii="仿宋_GB2312" w:hAnsi="仿宋_GB2312" w:eastAsia="仿宋_GB2312" w:cs="仿宋_GB2312"/>
        </w:rPr>
        <w:t>，落差约5100</w:t>
      </w:r>
      <w:r>
        <w:rPr>
          <w:rFonts w:hint="eastAsia" w:ascii="仿宋_GB2312" w:hAnsi="仿宋_GB2312" w:eastAsia="仿宋_GB2312" w:cs="仿宋_GB2312"/>
          <w:lang w:eastAsia="zh-CN"/>
        </w:rPr>
        <w:t>米</w:t>
      </w:r>
      <w:r>
        <w:rPr>
          <w:rFonts w:hint="eastAsia" w:ascii="仿宋_GB2312" w:hAnsi="仿宋_GB2312" w:eastAsia="仿宋_GB2312" w:cs="仿宋_GB2312"/>
        </w:rPr>
        <w:t>。在江达县和四川的石渠县交界处（江达县邓柯乡盖哈河口）流入昌都市边界，经江达、贡觉、芒康县东部边缘，</w:t>
      </w:r>
      <w:r>
        <w:rPr>
          <w:rFonts w:hint="eastAsia" w:ascii="仿宋_GB2312" w:hAnsi="仿宋_GB2312" w:eastAsia="仿宋_GB2312" w:cs="仿宋_GB2312"/>
          <w:lang w:eastAsia="zh-CN"/>
        </w:rPr>
        <w:t>在</w:t>
      </w:r>
      <w:r>
        <w:rPr>
          <w:rFonts w:hint="eastAsia" w:ascii="仿宋_GB2312" w:hAnsi="仿宋_GB2312" w:eastAsia="仿宋_GB2312" w:cs="仿宋_GB2312"/>
        </w:rPr>
        <w:t>巴塘县中心绒乡附近流入云南。昌都市段河长587</w:t>
      </w:r>
      <w:r>
        <w:rPr>
          <w:rFonts w:hint="eastAsia" w:ascii="仿宋_GB2312" w:hAnsi="仿宋_GB2312" w:eastAsia="仿宋_GB2312" w:cs="仿宋_GB2312"/>
          <w:lang w:eastAsia="zh-CN"/>
        </w:rPr>
        <w:t>公里</w:t>
      </w:r>
      <w:r>
        <w:rPr>
          <w:rFonts w:hint="eastAsia" w:ascii="仿宋_GB2312" w:hAnsi="仿宋_GB2312" w:eastAsia="仿宋_GB2312" w:cs="仿宋_GB2312"/>
        </w:rPr>
        <w:t>，落差1044</w:t>
      </w:r>
      <w:r>
        <w:rPr>
          <w:rFonts w:hint="eastAsia" w:ascii="仿宋_GB2312" w:hAnsi="仿宋_GB2312" w:eastAsia="仿宋_GB2312" w:cs="仿宋_GB2312"/>
          <w:lang w:eastAsia="zh-CN"/>
        </w:rPr>
        <w:t>米</w:t>
      </w:r>
      <w:r>
        <w:rPr>
          <w:rFonts w:hint="eastAsia" w:ascii="仿宋_GB2312" w:hAnsi="仿宋_GB2312" w:eastAsia="仿宋_GB2312" w:cs="仿宋_GB2312"/>
        </w:rPr>
        <w:t>，流域面积2.31万</w:t>
      </w:r>
      <w:r>
        <w:rPr>
          <w:rFonts w:hint="eastAsia" w:ascii="仿宋_GB2312" w:hAnsi="仿宋_GB2312" w:eastAsia="仿宋_GB2312" w:cs="仿宋_GB2312"/>
          <w:lang w:eastAsia="zh-CN"/>
        </w:rPr>
        <w:t>平方公里</w:t>
      </w:r>
      <w:r>
        <w:rPr>
          <w:rFonts w:hint="eastAsia" w:ascii="仿宋_GB2312" w:hAnsi="仿宋_GB2312" w:eastAsia="仿宋_GB2312" w:cs="仿宋_GB2312"/>
        </w:rPr>
        <w:t>，年径流量88.1亿</w:t>
      </w:r>
      <w:r>
        <w:rPr>
          <w:rFonts w:hint="eastAsia" w:ascii="仿宋_GB2312" w:hAnsi="仿宋_GB2312" w:eastAsia="仿宋_GB2312" w:cs="仿宋_GB2312"/>
          <w:lang w:eastAsia="zh-CN"/>
        </w:rPr>
        <w:t>立方米</w:t>
      </w:r>
      <w:r>
        <w:rPr>
          <w:rFonts w:hint="eastAsia" w:ascii="仿宋_GB2312" w:hAnsi="仿宋_GB2312" w:eastAsia="仿宋_GB2312" w:cs="仿宋_GB2312"/>
        </w:rPr>
        <w:t>，多年平均流量986</w:t>
      </w:r>
      <w:r>
        <w:rPr>
          <w:rFonts w:hint="eastAsia" w:ascii="仿宋_GB2312" w:hAnsi="仿宋_GB2312" w:eastAsia="仿宋_GB2312" w:cs="仿宋_GB2312"/>
          <w:lang w:eastAsia="zh-CN"/>
        </w:rPr>
        <w:t>立方米</w:t>
      </w:r>
      <w:r>
        <w:rPr>
          <w:rFonts w:hint="eastAsia" w:ascii="仿宋_GB2312" w:hAnsi="仿宋_GB2312" w:eastAsia="仿宋_GB2312" w:cs="仿宋_GB2312"/>
        </w:rPr>
        <w:t>/</w:t>
      </w:r>
      <w:r>
        <w:rPr>
          <w:rFonts w:hint="eastAsia" w:ascii="仿宋_GB2312" w:hAnsi="仿宋_GB2312" w:eastAsia="仿宋_GB2312" w:cs="仿宋_GB2312"/>
          <w:lang w:eastAsia="zh-CN"/>
        </w:rPr>
        <w:t>秒</w:t>
      </w:r>
      <w:r>
        <w:rPr>
          <w:rFonts w:hint="eastAsia" w:ascii="仿宋_GB2312" w:hAnsi="仿宋_GB2312" w:eastAsia="仿宋_GB2312" w:cs="仿宋_GB2312"/>
        </w:rPr>
        <w:t>，较大的支流有藏曲、热曲、西曲、嘎托曲等。</w:t>
      </w:r>
    </w:p>
    <w:p w14:paraId="650760FD">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澜沧江发源于青海省杂多县境内，流域面积16.44万</w:t>
      </w:r>
      <w:r>
        <w:rPr>
          <w:rFonts w:hint="eastAsia" w:ascii="仿宋_GB2312" w:hAnsi="仿宋_GB2312" w:eastAsia="仿宋_GB2312" w:cs="仿宋_GB2312"/>
          <w:lang w:eastAsia="zh-CN"/>
        </w:rPr>
        <w:t>平方公里</w:t>
      </w:r>
      <w:r>
        <w:rPr>
          <w:rFonts w:hint="eastAsia" w:ascii="仿宋_GB2312" w:hAnsi="仿宋_GB2312" w:eastAsia="仿宋_GB2312" w:cs="仿宋_GB2312"/>
        </w:rPr>
        <w:t>，干流全长2161</w:t>
      </w:r>
      <w:r>
        <w:rPr>
          <w:rFonts w:hint="eastAsia" w:ascii="仿宋_GB2312" w:hAnsi="仿宋_GB2312" w:eastAsia="仿宋_GB2312" w:cs="仿宋_GB2312"/>
          <w:lang w:eastAsia="zh-CN"/>
        </w:rPr>
        <w:t>公里</w:t>
      </w:r>
      <w:r>
        <w:rPr>
          <w:rFonts w:hint="eastAsia" w:ascii="仿宋_GB2312" w:hAnsi="仿宋_GB2312" w:eastAsia="仿宋_GB2312" w:cs="仿宋_GB2312"/>
        </w:rPr>
        <w:t>，落差约4583</w:t>
      </w:r>
      <w:r>
        <w:rPr>
          <w:rFonts w:hint="eastAsia" w:ascii="仿宋_GB2312" w:hAnsi="仿宋_GB2312" w:eastAsia="仿宋_GB2312" w:cs="仿宋_GB2312"/>
          <w:lang w:eastAsia="zh-CN"/>
        </w:rPr>
        <w:t>米</w:t>
      </w:r>
      <w:r>
        <w:rPr>
          <w:rFonts w:hint="eastAsia" w:ascii="仿宋_GB2312" w:hAnsi="仿宋_GB2312" w:eastAsia="仿宋_GB2312" w:cs="仿宋_GB2312"/>
        </w:rPr>
        <w:t>。自青海杂多县流入卡若区，经察雅、左贡、芒康县，在芒康县盐井以南进入云南。昌都市段河长490</w:t>
      </w:r>
      <w:r>
        <w:rPr>
          <w:rFonts w:hint="eastAsia" w:ascii="仿宋_GB2312" w:hAnsi="仿宋_GB2312" w:eastAsia="仿宋_GB2312" w:cs="仿宋_GB2312"/>
          <w:lang w:eastAsia="zh-CN"/>
        </w:rPr>
        <w:t>公里</w:t>
      </w:r>
      <w:r>
        <w:rPr>
          <w:rFonts w:hint="eastAsia" w:ascii="仿宋_GB2312" w:hAnsi="仿宋_GB2312" w:eastAsia="仿宋_GB2312" w:cs="仿宋_GB2312"/>
        </w:rPr>
        <w:t>，落差1340</w:t>
      </w:r>
      <w:r>
        <w:rPr>
          <w:rFonts w:hint="eastAsia" w:ascii="仿宋_GB2312" w:hAnsi="仿宋_GB2312" w:eastAsia="仿宋_GB2312" w:cs="仿宋_GB2312"/>
          <w:lang w:eastAsia="zh-CN"/>
        </w:rPr>
        <w:t>米</w:t>
      </w:r>
      <w:r>
        <w:rPr>
          <w:rFonts w:hint="eastAsia" w:ascii="仿宋_GB2312" w:hAnsi="仿宋_GB2312" w:eastAsia="仿宋_GB2312" w:cs="仿宋_GB2312"/>
        </w:rPr>
        <w:t>，流域面积3.72万</w:t>
      </w:r>
      <w:r>
        <w:rPr>
          <w:rFonts w:hint="eastAsia" w:ascii="仿宋_GB2312" w:hAnsi="仿宋_GB2312" w:eastAsia="仿宋_GB2312" w:cs="仿宋_GB2312"/>
          <w:lang w:eastAsia="zh-CN"/>
        </w:rPr>
        <w:t>平方公里</w:t>
      </w:r>
      <w:r>
        <w:rPr>
          <w:rFonts w:hint="eastAsia" w:ascii="仿宋_GB2312" w:hAnsi="仿宋_GB2312" w:eastAsia="仿宋_GB2312" w:cs="仿宋_GB2312"/>
        </w:rPr>
        <w:t>，年径流量为108.5亿</w:t>
      </w:r>
      <w:r>
        <w:rPr>
          <w:rFonts w:hint="eastAsia" w:ascii="仿宋_GB2312" w:hAnsi="仿宋_GB2312" w:eastAsia="仿宋_GB2312" w:cs="仿宋_GB2312"/>
          <w:lang w:eastAsia="zh-CN"/>
        </w:rPr>
        <w:t>立方米</w:t>
      </w:r>
      <w:r>
        <w:rPr>
          <w:rFonts w:hint="eastAsia" w:ascii="仿宋_GB2312" w:hAnsi="仿宋_GB2312" w:eastAsia="仿宋_GB2312" w:cs="仿宋_GB2312"/>
        </w:rPr>
        <w:t xml:space="preserve">，多年平均流量664 </w:t>
      </w:r>
      <w:r>
        <w:rPr>
          <w:rFonts w:hint="eastAsia" w:ascii="仿宋_GB2312" w:hAnsi="仿宋_GB2312" w:eastAsia="仿宋_GB2312" w:cs="仿宋_GB2312"/>
          <w:lang w:eastAsia="zh-CN"/>
        </w:rPr>
        <w:t>立方米</w:t>
      </w:r>
      <w:r>
        <w:rPr>
          <w:rFonts w:hint="eastAsia" w:ascii="仿宋_GB2312" w:hAnsi="仿宋_GB2312" w:eastAsia="仿宋_GB2312" w:cs="仿宋_GB2312"/>
        </w:rPr>
        <w:t>/</w:t>
      </w:r>
      <w:r>
        <w:rPr>
          <w:rFonts w:hint="eastAsia" w:ascii="仿宋_GB2312" w:hAnsi="仿宋_GB2312" w:eastAsia="仿宋_GB2312" w:cs="仿宋_GB2312"/>
          <w:lang w:eastAsia="zh-CN"/>
        </w:rPr>
        <w:t>秒</w:t>
      </w:r>
      <w:r>
        <w:rPr>
          <w:rFonts w:hint="eastAsia" w:ascii="仿宋_GB2312" w:hAnsi="仿宋_GB2312" w:eastAsia="仿宋_GB2312" w:cs="仿宋_GB2312"/>
        </w:rPr>
        <w:t>，较大的支流有昂曲、金河、麦曲、培曲等。</w:t>
      </w:r>
    </w:p>
    <w:p w14:paraId="5DE2F558">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怒江发源于那曲境内的唐古拉山脉吉热格帕峰南麓</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rPr>
        <w:t>流域面积13.6万</w:t>
      </w:r>
      <w:r>
        <w:rPr>
          <w:rFonts w:hint="eastAsia" w:ascii="仿宋_GB2312" w:hAnsi="仿宋_GB2312" w:eastAsia="仿宋_GB2312" w:cs="仿宋_GB2312"/>
          <w:lang w:eastAsia="zh-CN"/>
        </w:rPr>
        <w:t>平方公里</w:t>
      </w:r>
      <w:r>
        <w:rPr>
          <w:rFonts w:hint="eastAsia" w:ascii="仿宋_GB2312" w:hAnsi="仿宋_GB2312" w:eastAsia="仿宋_GB2312" w:cs="仿宋_GB2312"/>
        </w:rPr>
        <w:t>，干流全长2013</w:t>
      </w:r>
      <w:r>
        <w:rPr>
          <w:rFonts w:hint="eastAsia" w:ascii="仿宋_GB2312" w:hAnsi="仿宋_GB2312" w:eastAsia="仿宋_GB2312" w:cs="仿宋_GB2312"/>
          <w:lang w:eastAsia="zh-CN"/>
        </w:rPr>
        <w:t>公里</w:t>
      </w:r>
      <w:r>
        <w:rPr>
          <w:rFonts w:hint="eastAsia" w:ascii="仿宋_GB2312" w:hAnsi="仿宋_GB2312" w:eastAsia="仿宋_GB2312" w:cs="仿宋_GB2312"/>
        </w:rPr>
        <w:t>，落差约4840</w:t>
      </w:r>
      <w:r>
        <w:rPr>
          <w:rFonts w:hint="eastAsia" w:ascii="仿宋_GB2312" w:hAnsi="仿宋_GB2312" w:eastAsia="仿宋_GB2312" w:cs="仿宋_GB2312"/>
          <w:lang w:eastAsia="zh-CN"/>
        </w:rPr>
        <w:t>米</w:t>
      </w:r>
      <w:r>
        <w:rPr>
          <w:rFonts w:hint="eastAsia" w:ascii="仿宋_GB2312" w:hAnsi="仿宋_GB2312" w:eastAsia="仿宋_GB2312" w:cs="仿宋_GB2312"/>
        </w:rPr>
        <w:t>。在那曲索县荣布区热曲河口以下2</w:t>
      </w:r>
      <w:r>
        <w:rPr>
          <w:rFonts w:hint="eastAsia" w:ascii="仿宋_GB2312" w:hAnsi="仿宋_GB2312" w:eastAsia="仿宋_GB2312" w:cs="仿宋_GB2312"/>
          <w:lang w:eastAsia="zh-CN"/>
        </w:rPr>
        <w:t>公里</w:t>
      </w:r>
      <w:r>
        <w:rPr>
          <w:rFonts w:hint="eastAsia" w:ascii="仿宋_GB2312" w:hAnsi="仿宋_GB2312" w:eastAsia="仿宋_GB2312" w:cs="仿宋_GB2312"/>
        </w:rPr>
        <w:t>处流入昌都市，经边坝、洛隆、八宿、左贡县，在左贡县碧土西下游13</w:t>
      </w:r>
      <w:r>
        <w:rPr>
          <w:rFonts w:hint="eastAsia" w:ascii="仿宋_GB2312" w:hAnsi="仿宋_GB2312" w:eastAsia="仿宋_GB2312" w:cs="仿宋_GB2312"/>
          <w:lang w:eastAsia="zh-CN"/>
        </w:rPr>
        <w:t>公里</w:t>
      </w:r>
      <w:r>
        <w:rPr>
          <w:rFonts w:hint="eastAsia" w:ascii="仿宋_GB2312" w:hAnsi="仿宋_GB2312" w:eastAsia="仿宋_GB2312" w:cs="仿宋_GB2312"/>
        </w:rPr>
        <w:t>处流入察隅县。昌都市段河长660</w:t>
      </w:r>
      <w:r>
        <w:rPr>
          <w:rFonts w:hint="eastAsia" w:ascii="仿宋_GB2312" w:hAnsi="仿宋_GB2312" w:eastAsia="仿宋_GB2312" w:cs="仿宋_GB2312"/>
          <w:lang w:eastAsia="zh-CN"/>
        </w:rPr>
        <w:t>公里</w:t>
      </w:r>
      <w:r>
        <w:rPr>
          <w:rFonts w:hint="eastAsia" w:ascii="仿宋_GB2312" w:hAnsi="仿宋_GB2312" w:eastAsia="仿宋_GB2312" w:cs="仿宋_GB2312"/>
        </w:rPr>
        <w:t>，落差1572</w:t>
      </w:r>
      <w:r>
        <w:rPr>
          <w:rFonts w:hint="eastAsia" w:ascii="仿宋_GB2312" w:hAnsi="仿宋_GB2312" w:eastAsia="仿宋_GB2312" w:cs="仿宋_GB2312"/>
          <w:lang w:eastAsia="zh-CN"/>
        </w:rPr>
        <w:t>米</w:t>
      </w:r>
      <w:r>
        <w:rPr>
          <w:rFonts w:hint="eastAsia" w:ascii="仿宋_GB2312" w:hAnsi="仿宋_GB2312" w:eastAsia="仿宋_GB2312" w:cs="仿宋_GB2312"/>
        </w:rPr>
        <w:t>，流域面积4.41万</w:t>
      </w:r>
      <w:r>
        <w:rPr>
          <w:rFonts w:hint="eastAsia" w:ascii="仿宋_GB2312" w:hAnsi="仿宋_GB2312" w:eastAsia="仿宋_GB2312" w:cs="仿宋_GB2312"/>
          <w:lang w:eastAsia="zh-CN"/>
        </w:rPr>
        <w:t>平方公里</w:t>
      </w:r>
      <w:r>
        <w:rPr>
          <w:rFonts w:hint="eastAsia" w:ascii="仿宋_GB2312" w:hAnsi="仿宋_GB2312" w:eastAsia="仿宋_GB2312" w:cs="仿宋_GB2312"/>
        </w:rPr>
        <w:t>，年径流量为192.8亿</w:t>
      </w:r>
      <w:r>
        <w:rPr>
          <w:rFonts w:hint="eastAsia" w:ascii="仿宋_GB2312" w:hAnsi="仿宋_GB2312" w:eastAsia="仿宋_GB2312" w:cs="仿宋_GB2312"/>
          <w:lang w:eastAsia="zh-CN"/>
        </w:rPr>
        <w:t>立方米</w:t>
      </w:r>
      <w:r>
        <w:rPr>
          <w:rFonts w:hint="eastAsia" w:ascii="仿宋_GB2312" w:hAnsi="仿宋_GB2312" w:eastAsia="仿宋_GB2312" w:cs="仿宋_GB2312"/>
        </w:rPr>
        <w:t>，多年平均流量602</w:t>
      </w:r>
      <w:r>
        <w:rPr>
          <w:rFonts w:hint="eastAsia" w:ascii="仿宋_GB2312" w:hAnsi="仿宋_GB2312" w:eastAsia="仿宋_GB2312" w:cs="仿宋_GB2312"/>
          <w:lang w:eastAsia="zh-CN"/>
        </w:rPr>
        <w:t>立方米</w:t>
      </w:r>
      <w:r>
        <w:rPr>
          <w:rFonts w:hint="eastAsia" w:ascii="仿宋_GB2312" w:hAnsi="仿宋_GB2312" w:eastAsia="仿宋_GB2312" w:cs="仿宋_GB2312"/>
        </w:rPr>
        <w:t>/</w:t>
      </w:r>
      <w:r>
        <w:rPr>
          <w:rFonts w:hint="eastAsia" w:ascii="仿宋_GB2312" w:hAnsi="仿宋_GB2312" w:eastAsia="仿宋_GB2312" w:cs="仿宋_GB2312"/>
          <w:lang w:eastAsia="zh-CN"/>
        </w:rPr>
        <w:t>秒</w:t>
      </w:r>
      <w:r>
        <w:rPr>
          <w:rFonts w:hint="eastAsia" w:ascii="仿宋_GB2312" w:hAnsi="仿宋_GB2312" w:eastAsia="仿宋_GB2312" w:cs="仿宋_GB2312"/>
        </w:rPr>
        <w:t>，较大的支流有姐曲、美曲、色曲、冷曲、列曲、玉曲等。</w:t>
      </w:r>
    </w:p>
    <w:p w14:paraId="7B10235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2</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湖泊</w:t>
      </w:r>
    </w:p>
    <w:p w14:paraId="1CFC9B64">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昌都市湖泊面积达120.20</w:t>
      </w:r>
      <w:r>
        <w:rPr>
          <w:rFonts w:hint="eastAsia" w:ascii="仿宋_GB2312" w:hAnsi="仿宋_GB2312" w:eastAsia="仿宋_GB2312" w:cs="仿宋_GB2312"/>
          <w:lang w:eastAsia="zh-CN"/>
        </w:rPr>
        <w:t>平方公里</w:t>
      </w:r>
      <w:r>
        <w:rPr>
          <w:rFonts w:hint="eastAsia" w:ascii="仿宋_GB2312" w:hAnsi="仿宋_GB2312" w:eastAsia="仿宋_GB2312" w:cs="仿宋_GB2312"/>
        </w:rPr>
        <w:t>，面积大于1</w:t>
      </w:r>
      <w:r>
        <w:rPr>
          <w:rFonts w:hint="eastAsia" w:ascii="仿宋_GB2312" w:hAnsi="仿宋_GB2312" w:eastAsia="仿宋_GB2312" w:cs="仿宋_GB2312"/>
          <w:lang w:eastAsia="zh-CN"/>
        </w:rPr>
        <w:t>平方公里</w:t>
      </w:r>
      <w:r>
        <w:rPr>
          <w:rFonts w:hint="eastAsia" w:ascii="仿宋_GB2312" w:hAnsi="仿宋_GB2312" w:eastAsia="仿宋_GB2312" w:cs="仿宋_GB2312"/>
        </w:rPr>
        <w:t>的湖泊有10余个，其中面积最大的湖泊位于八宿县的然乌湖</w:t>
      </w:r>
      <w:r>
        <w:rPr>
          <w:rFonts w:hint="eastAsia" w:ascii="仿宋_GB2312" w:hAnsi="仿宋_GB2312" w:eastAsia="仿宋_GB2312" w:cs="仿宋_GB2312"/>
          <w:highlight w:val="none"/>
        </w:rPr>
        <w:t>，面积达</w:t>
      </w:r>
      <w:r>
        <w:rPr>
          <w:rFonts w:hint="eastAsia" w:ascii="仿宋_GB2312" w:hAnsi="仿宋_GB2312" w:eastAsia="仿宋_GB2312" w:cs="仿宋_GB2312"/>
          <w:highlight w:val="none"/>
          <w:lang w:val="en-US" w:eastAsia="zh-CN"/>
        </w:rPr>
        <w:t>22</w:t>
      </w:r>
      <w:r>
        <w:rPr>
          <w:rFonts w:hint="eastAsia" w:ascii="仿宋_GB2312" w:hAnsi="仿宋_GB2312" w:eastAsia="仿宋_GB2312" w:cs="仿宋_GB2312"/>
          <w:lang w:eastAsia="zh-CN"/>
        </w:rPr>
        <w:t>平方公里</w:t>
      </w:r>
      <w:r>
        <w:rPr>
          <w:rFonts w:hint="eastAsia" w:ascii="仿宋_GB2312" w:hAnsi="仿宋_GB2312" w:eastAsia="仿宋_GB2312" w:cs="仿宋_GB2312"/>
          <w:highlight w:val="none"/>
        </w:rPr>
        <w:t>；芒康县的莽</w:t>
      </w:r>
      <w:r>
        <w:rPr>
          <w:rFonts w:hint="eastAsia" w:ascii="仿宋_GB2312" w:hAnsi="仿宋_GB2312" w:eastAsia="仿宋_GB2312" w:cs="仿宋_GB2312"/>
          <w:highlight w:val="none"/>
          <w:lang w:eastAsia="zh-CN"/>
        </w:rPr>
        <w:t>措</w:t>
      </w:r>
      <w:r>
        <w:rPr>
          <w:rFonts w:hint="eastAsia" w:ascii="仿宋_GB2312" w:hAnsi="仿宋_GB2312" w:eastAsia="仿宋_GB2312" w:cs="仿宋_GB2312"/>
          <w:highlight w:val="none"/>
        </w:rPr>
        <w:t>湖，面积达</w:t>
      </w:r>
      <w:r>
        <w:rPr>
          <w:rFonts w:hint="eastAsia" w:ascii="仿宋_GB2312" w:hAnsi="仿宋_GB2312" w:eastAsia="仿宋_GB2312" w:cs="仿宋_GB2312"/>
          <w:highlight w:val="none"/>
          <w:lang w:val="en-US" w:eastAsia="zh-CN"/>
        </w:rPr>
        <w:t>20.6</w:t>
      </w:r>
      <w:r>
        <w:rPr>
          <w:rFonts w:hint="eastAsia" w:ascii="仿宋_GB2312" w:hAnsi="仿宋_GB2312" w:eastAsia="仿宋_GB2312" w:cs="仿宋_GB2312"/>
          <w:lang w:eastAsia="zh-CN"/>
        </w:rPr>
        <w:t>平方公里</w:t>
      </w:r>
      <w:r>
        <w:rPr>
          <w:rFonts w:hint="eastAsia" w:ascii="仿宋_GB2312" w:hAnsi="仿宋_GB2312" w:eastAsia="仿宋_GB2312" w:cs="仿宋_GB2312"/>
          <w:highlight w:val="none"/>
        </w:rPr>
        <w:t>，是昌都市第二大湖泊。此</w:t>
      </w:r>
      <w:r>
        <w:rPr>
          <w:rFonts w:hint="eastAsia" w:ascii="仿宋_GB2312" w:hAnsi="仿宋_GB2312" w:eastAsia="仿宋_GB2312" w:cs="仿宋_GB2312"/>
        </w:rPr>
        <w:t>外，较大的湖泊还有布托</w:t>
      </w:r>
      <w:r>
        <w:rPr>
          <w:rFonts w:hint="eastAsia" w:ascii="仿宋_GB2312" w:hAnsi="仿宋_GB2312" w:eastAsia="仿宋_GB2312" w:cs="仿宋_GB2312"/>
          <w:lang w:eastAsia="zh-CN"/>
        </w:rPr>
        <w:t>措</w:t>
      </w:r>
      <w:r>
        <w:rPr>
          <w:rFonts w:hint="eastAsia" w:ascii="仿宋_GB2312" w:hAnsi="仿宋_GB2312" w:eastAsia="仿宋_GB2312" w:cs="仿宋_GB2312"/>
        </w:rPr>
        <w:t>青（面积</w:t>
      </w:r>
      <w:r>
        <w:rPr>
          <w:rFonts w:hint="eastAsia" w:ascii="仿宋_GB2312" w:hAnsi="仿宋_GB2312" w:eastAsia="仿宋_GB2312" w:cs="仿宋_GB2312"/>
          <w:lang w:val="en-US" w:eastAsia="zh-CN"/>
        </w:rPr>
        <w:t>8.85</w:t>
      </w:r>
      <w:r>
        <w:rPr>
          <w:rFonts w:hint="eastAsia" w:ascii="仿宋_GB2312" w:hAnsi="仿宋_GB2312" w:eastAsia="仿宋_GB2312" w:cs="仿宋_GB2312"/>
          <w:lang w:eastAsia="zh-CN"/>
        </w:rPr>
        <w:t>平方公里</w:t>
      </w:r>
      <w:r>
        <w:rPr>
          <w:rFonts w:hint="eastAsia" w:ascii="仿宋_GB2312" w:hAnsi="仿宋_GB2312" w:eastAsia="仿宋_GB2312" w:cs="仿宋_GB2312"/>
        </w:rPr>
        <w:t>，海拔4660</w:t>
      </w:r>
      <w:r>
        <w:rPr>
          <w:rFonts w:hint="eastAsia" w:ascii="仿宋_GB2312" w:hAnsi="仿宋_GB2312" w:eastAsia="仿宋_GB2312" w:cs="仿宋_GB2312"/>
          <w:lang w:eastAsia="zh-CN"/>
        </w:rPr>
        <w:t>米</w:t>
      </w:r>
      <w:r>
        <w:rPr>
          <w:rFonts w:hint="eastAsia" w:ascii="仿宋_GB2312" w:hAnsi="仿宋_GB2312" w:eastAsia="仿宋_GB2312" w:cs="仿宋_GB2312"/>
        </w:rPr>
        <w:t>）、布托</w:t>
      </w:r>
      <w:r>
        <w:rPr>
          <w:rFonts w:hint="eastAsia" w:ascii="仿宋_GB2312" w:hAnsi="仿宋_GB2312" w:eastAsia="仿宋_GB2312" w:cs="仿宋_GB2312"/>
          <w:lang w:eastAsia="zh-CN"/>
        </w:rPr>
        <w:t>措</w:t>
      </w:r>
      <w:r>
        <w:rPr>
          <w:rFonts w:hint="eastAsia" w:ascii="仿宋_GB2312" w:hAnsi="仿宋_GB2312" w:eastAsia="仿宋_GB2312" w:cs="仿宋_GB2312"/>
        </w:rPr>
        <w:t>穷（面积6.</w:t>
      </w:r>
      <w:r>
        <w:rPr>
          <w:rFonts w:hint="eastAsia" w:ascii="仿宋_GB2312" w:hAnsi="仿宋_GB2312" w:eastAsia="仿宋_GB2312" w:cs="仿宋_GB2312"/>
          <w:lang w:val="en-US" w:eastAsia="zh-CN"/>
        </w:rPr>
        <w:t>26</w:t>
      </w:r>
      <w:r>
        <w:rPr>
          <w:rFonts w:hint="eastAsia" w:ascii="仿宋_GB2312" w:hAnsi="仿宋_GB2312" w:eastAsia="仿宋_GB2312" w:cs="仿宋_GB2312"/>
          <w:lang w:eastAsia="zh-CN"/>
        </w:rPr>
        <w:t>平方公里</w:t>
      </w:r>
      <w:r>
        <w:rPr>
          <w:rFonts w:hint="eastAsia" w:ascii="仿宋_GB2312" w:hAnsi="仿宋_GB2312" w:eastAsia="仿宋_GB2312" w:cs="仿宋_GB2312"/>
        </w:rPr>
        <w:t>，海拔4590</w:t>
      </w:r>
      <w:r>
        <w:rPr>
          <w:rFonts w:hint="eastAsia" w:ascii="仿宋_GB2312" w:hAnsi="仿宋_GB2312" w:eastAsia="仿宋_GB2312" w:cs="仿宋_GB2312"/>
          <w:lang w:eastAsia="zh-CN"/>
        </w:rPr>
        <w:t>米</w:t>
      </w:r>
      <w:r>
        <w:rPr>
          <w:rFonts w:hint="eastAsia" w:ascii="仿宋_GB2312" w:hAnsi="仿宋_GB2312" w:eastAsia="仿宋_GB2312" w:cs="仿宋_GB2312"/>
        </w:rPr>
        <w:t>）、仁</w:t>
      </w:r>
      <w:r>
        <w:rPr>
          <w:rFonts w:hint="eastAsia" w:ascii="仿宋_GB2312" w:hAnsi="仿宋_GB2312" w:eastAsia="仿宋_GB2312" w:cs="仿宋_GB2312"/>
          <w:lang w:eastAsia="zh-CN"/>
        </w:rPr>
        <w:t>措</w:t>
      </w:r>
      <w:r>
        <w:rPr>
          <w:rFonts w:hint="eastAsia" w:ascii="仿宋_GB2312" w:hAnsi="仿宋_GB2312" w:eastAsia="仿宋_GB2312" w:cs="仿宋_GB2312"/>
        </w:rPr>
        <w:t>（面积3.7</w:t>
      </w:r>
      <w:r>
        <w:rPr>
          <w:rFonts w:hint="eastAsia" w:ascii="仿宋_GB2312" w:hAnsi="仿宋_GB2312" w:eastAsia="仿宋_GB2312" w:cs="仿宋_GB2312"/>
          <w:lang w:eastAsia="zh-CN"/>
        </w:rPr>
        <w:t>平方公里</w:t>
      </w:r>
      <w:r>
        <w:rPr>
          <w:rFonts w:hint="eastAsia" w:ascii="仿宋_GB2312" w:hAnsi="仿宋_GB2312" w:eastAsia="仿宋_GB2312" w:cs="仿宋_GB2312"/>
        </w:rPr>
        <w:t>，海拔4430</w:t>
      </w:r>
      <w:r>
        <w:rPr>
          <w:rFonts w:hint="eastAsia" w:ascii="仿宋_GB2312" w:hAnsi="仿宋_GB2312" w:eastAsia="仿宋_GB2312" w:cs="仿宋_GB2312"/>
          <w:lang w:eastAsia="zh-CN"/>
        </w:rPr>
        <w:t>米</w:t>
      </w:r>
      <w:r>
        <w:rPr>
          <w:rFonts w:hint="eastAsia" w:ascii="仿宋_GB2312" w:hAnsi="仿宋_GB2312" w:eastAsia="仿宋_GB2312" w:cs="仿宋_GB2312"/>
        </w:rPr>
        <w:t>）。昌都市湖泊全部为外流淡水湖。湖泊的成因多样，有构造成因、冰川成因以及其他成因（如堵塞谷地成湖）等，其中莽</w:t>
      </w:r>
      <w:r>
        <w:rPr>
          <w:rFonts w:hint="eastAsia" w:ascii="仿宋_GB2312" w:hAnsi="仿宋_GB2312" w:eastAsia="仿宋_GB2312" w:cs="仿宋_GB2312"/>
          <w:lang w:eastAsia="zh-CN"/>
        </w:rPr>
        <w:t>措</w:t>
      </w:r>
      <w:r>
        <w:rPr>
          <w:rFonts w:hint="eastAsia" w:ascii="仿宋_GB2312" w:hAnsi="仿宋_GB2312" w:eastAsia="仿宋_GB2312" w:cs="仿宋_GB2312"/>
        </w:rPr>
        <w:t>形成与构造活动有关。但</w:t>
      </w:r>
      <w:r>
        <w:rPr>
          <w:rFonts w:hint="eastAsia" w:ascii="仿宋_GB2312" w:hAnsi="仿宋_GB2312" w:eastAsia="仿宋_GB2312" w:cs="仿宋_GB2312"/>
          <w:lang w:val="en-US" w:eastAsia="zh-CN"/>
        </w:rPr>
        <w:t>昌都</w:t>
      </w:r>
      <w:r>
        <w:rPr>
          <w:rFonts w:hint="eastAsia" w:ascii="仿宋_GB2312" w:hAnsi="仿宋_GB2312" w:eastAsia="仿宋_GB2312" w:cs="仿宋_GB2312"/>
        </w:rPr>
        <w:t>湖泊大多为古冰川作用形成的冰川湖，如布托</w:t>
      </w:r>
      <w:r>
        <w:rPr>
          <w:rFonts w:hint="eastAsia" w:ascii="仿宋_GB2312" w:hAnsi="仿宋_GB2312" w:eastAsia="仿宋_GB2312" w:cs="仿宋_GB2312"/>
          <w:lang w:eastAsia="zh-CN"/>
        </w:rPr>
        <w:t>措</w:t>
      </w:r>
      <w:r>
        <w:rPr>
          <w:rFonts w:hint="eastAsia" w:ascii="仿宋_GB2312" w:hAnsi="仿宋_GB2312" w:eastAsia="仿宋_GB2312" w:cs="仿宋_GB2312"/>
        </w:rPr>
        <w:t>青和布托</w:t>
      </w:r>
      <w:r>
        <w:rPr>
          <w:rFonts w:hint="eastAsia" w:ascii="仿宋_GB2312" w:hAnsi="仿宋_GB2312" w:eastAsia="仿宋_GB2312" w:cs="仿宋_GB2312"/>
          <w:lang w:eastAsia="zh-CN"/>
        </w:rPr>
        <w:t>措</w:t>
      </w:r>
      <w:r>
        <w:rPr>
          <w:rFonts w:hint="eastAsia" w:ascii="仿宋_GB2312" w:hAnsi="仿宋_GB2312" w:eastAsia="仿宋_GB2312" w:cs="仿宋_GB2312"/>
        </w:rPr>
        <w:t>穷，面积在1</w:t>
      </w:r>
      <w:r>
        <w:rPr>
          <w:rFonts w:hint="eastAsia" w:ascii="仿宋_GB2312" w:hAnsi="仿宋_GB2312" w:eastAsia="仿宋_GB2312" w:cs="仿宋_GB2312"/>
          <w:lang w:eastAsia="zh-CN"/>
        </w:rPr>
        <w:t>平方公里</w:t>
      </w:r>
      <w:r>
        <w:rPr>
          <w:rFonts w:hint="eastAsia" w:ascii="仿宋_GB2312" w:hAnsi="仿宋_GB2312" w:eastAsia="仿宋_GB2312" w:cs="仿宋_GB2312"/>
        </w:rPr>
        <w:t>以下的高山湖泊基本上都为冰川湖泊。也有一些湖泊为现代谷地被山崩、滑坡或泥石流堵塞形成的湖泊，如然乌湖就是由山崩堵塞而形成的堰塞湖。</w:t>
      </w:r>
    </w:p>
    <w:p w14:paraId="6CF401D2">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3</w:t>
      </w:r>
      <w:r>
        <w:rPr>
          <w:rFonts w:hint="eastAsia" w:ascii="仿宋_GB2312" w:hAnsi="仿宋_GB2312" w:eastAsia="仿宋_GB2312" w:cs="仿宋_GB2312"/>
          <w:b w:val="0"/>
          <w:bCs w:val="0"/>
        </w:rPr>
        <w:t>）</w:t>
      </w:r>
      <w:r>
        <w:rPr>
          <w:rFonts w:hint="eastAsia" w:ascii="仿宋_GB2312" w:hAnsi="仿宋_GB2312" w:eastAsia="仿宋_GB2312" w:cs="仿宋_GB2312"/>
          <w:b w:val="0"/>
          <w:bCs w:val="0"/>
          <w:lang w:val="en-US" w:eastAsia="zh-CN"/>
        </w:rPr>
        <w:t>冰川</w:t>
      </w:r>
    </w:p>
    <w:p w14:paraId="2F1FCA8C">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昌都市境内共有冰川和雪山面积310.77万亩，且均为海洋性冰川。现代冰川主要分布在西南高山极高山地，如岗日嘎布、念青唐古拉山－伯舒拉岭、强拉日、</w:t>
      </w:r>
      <w:r>
        <w:rPr>
          <w:rFonts w:hint="eastAsia" w:ascii="仿宋_GB2312" w:hAnsi="仿宋_GB2312" w:eastAsia="仿宋_GB2312" w:cs="仿宋_GB2312"/>
          <w:lang w:eastAsia="zh-CN"/>
        </w:rPr>
        <w:t>他念他翁山</w:t>
      </w:r>
      <w:r>
        <w:rPr>
          <w:rFonts w:hint="eastAsia" w:ascii="仿宋_GB2312" w:hAnsi="仿宋_GB2312" w:eastAsia="仿宋_GB2312" w:cs="仿宋_GB2312"/>
        </w:rPr>
        <w:t>南部的达美拥雪山和梅里雪山等。其中昌都市西南的岗日嘎布正处于印度洋季风向青藏高原输送水汽的主要通道上，是青藏高原南部边缘受西南季风影响最强烈的一条山脉，是青藏高原上现代冰川</w:t>
      </w:r>
      <w:r>
        <w:rPr>
          <w:rFonts w:hint="eastAsia" w:ascii="仿宋_GB2312" w:hAnsi="仿宋_GB2312" w:eastAsia="仿宋_GB2312" w:cs="仿宋_GB2312"/>
          <w:lang w:eastAsia="zh-CN"/>
        </w:rPr>
        <w:t>覆盖率</w:t>
      </w:r>
      <w:r>
        <w:rPr>
          <w:rFonts w:hint="eastAsia" w:ascii="仿宋_GB2312" w:hAnsi="仿宋_GB2312" w:eastAsia="仿宋_GB2312" w:cs="仿宋_GB2312"/>
        </w:rPr>
        <w:t>最高的山脉。</w:t>
      </w:r>
    </w:p>
    <w:p w14:paraId="23F1CDC9">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昌都市冰川总条数达数百条，为青藏高原上冰川集中分布区之一。区内冰川分布的总趋势受</w:t>
      </w:r>
      <w:r>
        <w:rPr>
          <w:rFonts w:hint="eastAsia" w:ascii="仿宋_GB2312" w:hAnsi="仿宋_GB2312" w:eastAsia="仿宋_GB2312" w:cs="仿宋_GB2312"/>
          <w:lang w:eastAsia="zh-CN"/>
        </w:rPr>
        <w:t>海拔</w:t>
      </w:r>
      <w:r>
        <w:rPr>
          <w:rFonts w:hint="eastAsia" w:ascii="仿宋_GB2312" w:hAnsi="仿宋_GB2312" w:eastAsia="仿宋_GB2312" w:cs="仿宋_GB2312"/>
        </w:rPr>
        <w:t>变低影响自西向东减少。宁静山不仅</w:t>
      </w:r>
      <w:r>
        <w:rPr>
          <w:rFonts w:hint="eastAsia" w:ascii="仿宋_GB2312" w:hAnsi="仿宋_GB2312" w:eastAsia="仿宋_GB2312" w:cs="仿宋_GB2312"/>
          <w:lang w:eastAsia="zh-CN"/>
        </w:rPr>
        <w:t>海拔</w:t>
      </w:r>
      <w:r>
        <w:rPr>
          <w:rFonts w:hint="eastAsia" w:ascii="仿宋_GB2312" w:hAnsi="仿宋_GB2312" w:eastAsia="仿宋_GB2312" w:cs="仿宋_GB2312"/>
        </w:rPr>
        <w:t>较低，且受两侧平行山岭的阻拦，形成东西气流难以伸入的雨影区，因而成为区内各山系中唯一现代冰川的山岭。现代冰川的形态类型，有悬冰川、冰斗—悬冰川、冰斗冰川、冰斗—山谷冰川、山谷冰川、峡谷冰川、坡面冰川和冰帽或平顶冰川等8种类型。其中山谷冰川是各类冰川中规模最大的一种大型冰川，主要分布在岗日嘎布、念青唐古拉山—伯舒拉岭、强拉日、</w:t>
      </w:r>
      <w:r>
        <w:rPr>
          <w:rFonts w:hint="eastAsia" w:ascii="仿宋_GB2312" w:hAnsi="仿宋_GB2312" w:eastAsia="仿宋_GB2312" w:cs="仿宋_GB2312"/>
          <w:lang w:eastAsia="zh-CN"/>
        </w:rPr>
        <w:t>他念他翁山</w:t>
      </w:r>
      <w:r>
        <w:rPr>
          <w:rFonts w:hint="eastAsia" w:ascii="仿宋_GB2312" w:hAnsi="仿宋_GB2312" w:eastAsia="仿宋_GB2312" w:cs="仿宋_GB2312"/>
        </w:rPr>
        <w:t>南部的达美拥雪山和梅里雪山等最高隆起区，是本区主要的冰川类型。其中最大的山谷冰川是然乌湖南面的来古冰川（又称雅弄冰川），长约26</w:t>
      </w:r>
      <w:r>
        <w:rPr>
          <w:rFonts w:hint="eastAsia" w:ascii="仿宋_GB2312" w:hAnsi="仿宋_GB2312" w:eastAsia="仿宋_GB2312" w:cs="仿宋_GB2312"/>
          <w:lang w:eastAsia="zh-CN"/>
        </w:rPr>
        <w:t>公里</w:t>
      </w:r>
      <w:r>
        <w:rPr>
          <w:rFonts w:hint="eastAsia" w:ascii="仿宋_GB2312" w:hAnsi="仿宋_GB2312" w:eastAsia="仿宋_GB2312" w:cs="仿宋_GB2312"/>
        </w:rPr>
        <w:t>，宽达2</w:t>
      </w:r>
      <w:r>
        <w:rPr>
          <w:rFonts w:hint="eastAsia" w:ascii="仿宋_GB2312" w:hAnsi="仿宋_GB2312" w:eastAsia="仿宋_GB2312" w:cs="仿宋_GB2312"/>
          <w:lang w:val="en-US" w:eastAsia="zh-CN"/>
        </w:rPr>
        <w:t>-</w:t>
      </w:r>
      <w:r>
        <w:rPr>
          <w:rFonts w:hint="eastAsia" w:ascii="仿宋_GB2312" w:hAnsi="仿宋_GB2312" w:eastAsia="仿宋_GB2312" w:cs="仿宋_GB2312"/>
        </w:rPr>
        <w:t>4</w:t>
      </w:r>
      <w:r>
        <w:rPr>
          <w:rFonts w:hint="eastAsia" w:ascii="仿宋_GB2312" w:hAnsi="仿宋_GB2312" w:eastAsia="仿宋_GB2312" w:cs="仿宋_GB2312"/>
          <w:lang w:eastAsia="zh-CN"/>
        </w:rPr>
        <w:t>公里</w:t>
      </w:r>
      <w:r>
        <w:rPr>
          <w:rFonts w:hint="eastAsia" w:ascii="仿宋_GB2312" w:hAnsi="仿宋_GB2312" w:eastAsia="仿宋_GB2312" w:cs="仿宋_GB2312"/>
        </w:rPr>
        <w:t>，冰川末端</w:t>
      </w:r>
      <w:r>
        <w:rPr>
          <w:rFonts w:hint="eastAsia" w:ascii="仿宋_GB2312" w:hAnsi="仿宋_GB2312" w:eastAsia="仿宋_GB2312" w:cs="仿宋_GB2312"/>
          <w:lang w:eastAsia="zh-CN"/>
        </w:rPr>
        <w:t>延伸</w:t>
      </w:r>
      <w:r>
        <w:rPr>
          <w:rFonts w:hint="eastAsia" w:ascii="仿宋_GB2312" w:hAnsi="仿宋_GB2312" w:eastAsia="仿宋_GB2312" w:cs="仿宋_GB2312"/>
        </w:rPr>
        <w:t>至4000</w:t>
      </w:r>
      <w:r>
        <w:rPr>
          <w:rFonts w:hint="eastAsia" w:ascii="仿宋_GB2312" w:hAnsi="仿宋_GB2312" w:eastAsia="仿宋_GB2312" w:cs="仿宋_GB2312"/>
          <w:lang w:eastAsia="zh-CN"/>
        </w:rPr>
        <w:t>米</w:t>
      </w:r>
      <w:r>
        <w:rPr>
          <w:rFonts w:hint="eastAsia" w:ascii="仿宋_GB2312" w:hAnsi="仿宋_GB2312" w:eastAsia="仿宋_GB2312" w:cs="仿宋_GB2312"/>
        </w:rPr>
        <w:t>以下。在边坝县南部念青唐古拉山北坡也有一系列冰川发育，冰川末端下伸到海拔4500</w:t>
      </w:r>
      <w:r>
        <w:rPr>
          <w:rFonts w:hint="eastAsia" w:ascii="仿宋_GB2312" w:hAnsi="仿宋_GB2312" w:eastAsia="仿宋_GB2312" w:cs="仿宋_GB2312"/>
          <w:lang w:eastAsia="zh-CN"/>
        </w:rPr>
        <w:t>米</w:t>
      </w:r>
      <w:r>
        <w:rPr>
          <w:rFonts w:hint="eastAsia" w:ascii="仿宋_GB2312" w:hAnsi="仿宋_GB2312" w:eastAsia="仿宋_GB2312" w:cs="仿宋_GB2312"/>
        </w:rPr>
        <w:t>左右。</w:t>
      </w:r>
    </w:p>
    <w:p w14:paraId="49E0AA2A">
      <w:pPr>
        <w:pStyle w:val="27"/>
        <w:pageBreakBefore w:val="0"/>
        <w:widowControl w:val="0"/>
        <w:kinsoku/>
        <w:wordWrap/>
        <w:overflowPunct/>
        <w:topLinePunct w:val="0"/>
        <w:autoSpaceDE/>
        <w:autoSpaceDN/>
        <w:bidi w:val="0"/>
        <w:spacing w:line="576" w:lineRule="exact"/>
        <w:textAlignment w:val="auto"/>
        <w:rPr>
          <w:rFonts w:hint="eastAsia" w:ascii="仿宋_GB2312" w:hAnsi="仿宋_GB2312" w:eastAsia="仿宋_GB2312" w:cs="仿宋_GB2312"/>
        </w:rPr>
        <w:sectPr>
          <w:footerReference r:id="rId7" w:type="default"/>
          <w:pgSz w:w="11906" w:h="16838"/>
          <w:pgMar w:top="2098" w:right="1474" w:bottom="1984" w:left="1531" w:header="851" w:footer="992" w:gutter="0"/>
          <w:pgNumType w:fmt="decimal" w:start="1"/>
          <w:cols w:space="425" w:num="1"/>
          <w:docGrid w:type="lines" w:linePitch="312" w:charSpace="0"/>
        </w:sectPr>
      </w:pPr>
    </w:p>
    <w:p w14:paraId="6B24556E">
      <w:pPr>
        <w:pStyle w:val="27"/>
        <w:jc w:val="center"/>
        <w:rPr>
          <w:rFonts w:cs="Times New Roman"/>
        </w:rPr>
      </w:pPr>
      <w:r>
        <w:rPr>
          <w:rFonts w:cs="Times New Roman"/>
        </w:rPr>
        <w:drawing>
          <wp:inline distT="0" distB="0" distL="0" distR="0">
            <wp:extent cx="6652260" cy="4510405"/>
            <wp:effectExtent l="0" t="0" r="152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l="3785" t="2170" r="3427" b="1338"/>
                    <a:stretch>
                      <a:fillRect/>
                    </a:stretch>
                  </pic:blipFill>
                  <pic:spPr>
                    <a:xfrm>
                      <a:off x="0" y="0"/>
                      <a:ext cx="6657904" cy="4510405"/>
                    </a:xfrm>
                    <a:prstGeom prst="rect">
                      <a:avLst/>
                    </a:prstGeom>
                    <a:noFill/>
                    <a:ln>
                      <a:noFill/>
                    </a:ln>
                  </pic:spPr>
                </pic:pic>
              </a:graphicData>
            </a:graphic>
          </wp:inline>
        </w:drawing>
      </w:r>
    </w:p>
    <w:p w14:paraId="67548468">
      <w:pPr>
        <w:pStyle w:val="27"/>
        <w:ind w:firstLine="422"/>
        <w:jc w:val="center"/>
        <w:rPr>
          <w:rFonts w:cs="Times New Roman"/>
          <w:b/>
          <w:bCs/>
          <w:sz w:val="21"/>
          <w:szCs w:val="21"/>
        </w:rPr>
      </w:pPr>
      <w:r>
        <w:rPr>
          <w:rFonts w:cs="Times New Roman"/>
          <w:b/>
          <w:bCs/>
          <w:sz w:val="21"/>
          <w:szCs w:val="21"/>
        </w:rPr>
        <w:t>图1-1 昌都市河流水系图</w:t>
      </w:r>
    </w:p>
    <w:p w14:paraId="3CAA573E">
      <w:pPr>
        <w:pStyle w:val="27"/>
        <w:ind w:firstLine="422"/>
        <w:jc w:val="center"/>
        <w:rPr>
          <w:rFonts w:cs="Times New Roman"/>
          <w:b/>
          <w:bCs/>
          <w:sz w:val="21"/>
          <w:szCs w:val="21"/>
        </w:rPr>
        <w:sectPr>
          <w:pgSz w:w="16838" w:h="11906" w:orient="landscape"/>
          <w:pgMar w:top="2098" w:right="1474" w:bottom="1984" w:left="1531" w:header="851" w:footer="992" w:gutter="0"/>
          <w:pgNumType w:fmt="decimal"/>
          <w:cols w:space="425" w:num="1"/>
          <w:docGrid w:type="lines" w:linePitch="312" w:charSpace="0"/>
        </w:sectPr>
      </w:pPr>
    </w:p>
    <w:p w14:paraId="513266A2">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8" w:name="_Toc113972126"/>
      <w:bookmarkStart w:id="19" w:name="_Toc114063672"/>
      <w:r>
        <w:rPr>
          <w:rFonts w:hint="eastAsia" w:ascii="仿宋_GB2312" w:hAnsi="仿宋_GB2312" w:eastAsia="仿宋_GB2312" w:cs="仿宋_GB2312"/>
          <w:sz w:val="32"/>
          <w:szCs w:val="36"/>
        </w:rPr>
        <w:t>5</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社会经济</w:t>
      </w:r>
      <w:bookmarkEnd w:id="18"/>
      <w:bookmarkEnd w:id="19"/>
    </w:p>
    <w:p w14:paraId="18517FB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昌都市下辖一区十县，分别为卡若区、江达县、贡觉县、类乌齐县、丁青县、察雅县、八宿县、左贡县、芒康县、洛隆县和边坝县。</w:t>
      </w:r>
    </w:p>
    <w:p w14:paraId="710B436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截至</w:t>
      </w:r>
      <w:r>
        <w:rPr>
          <w:rFonts w:hint="eastAsia" w:ascii="仿宋_GB2312" w:hAnsi="仿宋_GB2312" w:eastAsia="仿宋_GB2312" w:cs="仿宋_GB2312"/>
          <w:highlight w:val="none"/>
        </w:rPr>
        <w:t>2020年末，全市总人口为76.1万人，其中城镇人口13.3万人，占总人口的17.</w:t>
      </w:r>
      <w:r>
        <w:rPr>
          <w:rFonts w:hint="eastAsia" w:ascii="仿宋_GB2312" w:hAnsi="仿宋_GB2312" w:eastAsia="仿宋_GB2312" w:cs="仿宋_GB2312"/>
          <w:highlight w:val="none"/>
          <w:lang w:val="en-US" w:eastAsia="zh-CN"/>
        </w:rPr>
        <w:t>5</w:t>
      </w:r>
      <w:r>
        <w:rPr>
          <w:rFonts w:hint="eastAsia" w:ascii="仿宋_GB2312" w:hAnsi="仿宋_GB2312" w:eastAsia="仿宋_GB2312" w:cs="仿宋_GB2312"/>
          <w:highlight w:val="none"/>
        </w:rPr>
        <w:t>%；乡村人口62.8万人，占总人口的82.5%。</w:t>
      </w:r>
    </w:p>
    <w:p w14:paraId="4D5ED9D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2020年实现全市生产总值252.89亿元，同比增长7.8%，</w:t>
      </w:r>
      <w:r>
        <w:rPr>
          <w:rFonts w:hint="eastAsia" w:ascii="仿宋_GB2312" w:hAnsi="仿宋_GB2312" w:eastAsia="仿宋_GB2312" w:cs="仿宋_GB2312"/>
          <w:highlight w:val="none"/>
          <w:lang w:val="en-US" w:eastAsia="zh-CN"/>
        </w:rPr>
        <w:t>其</w:t>
      </w:r>
      <w:r>
        <w:rPr>
          <w:rFonts w:hint="eastAsia" w:ascii="仿宋_GB2312" w:hAnsi="仿宋_GB2312" w:eastAsia="仿宋_GB2312" w:cs="仿宋_GB2312"/>
          <w:highlight w:val="none"/>
        </w:rPr>
        <w:t>中第一产业增加值为31.09亿元，第二产业增加值为114.05亿元，第三产业增加值为107.75亿元，地区生产总值中第</w:t>
      </w:r>
      <w:r>
        <w:rPr>
          <w:rFonts w:hint="eastAsia" w:ascii="仿宋_GB2312" w:hAnsi="仿宋_GB2312" w:eastAsia="仿宋_GB2312" w:cs="仿宋_GB2312"/>
          <w:highlight w:val="none"/>
          <w:lang w:eastAsia="zh-CN"/>
        </w:rPr>
        <w:t>一二三产业</w:t>
      </w:r>
      <w:r>
        <w:rPr>
          <w:rFonts w:hint="eastAsia" w:ascii="仿宋_GB2312" w:hAnsi="仿宋_GB2312" w:eastAsia="仿宋_GB2312" w:cs="仿宋_GB2312"/>
          <w:highlight w:val="none"/>
        </w:rPr>
        <w:t>增加值所占比重分别为12.3%、45.1%、42.6%。</w:t>
      </w:r>
    </w:p>
    <w:p w14:paraId="78CB948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highlight w:val="red"/>
        </w:rPr>
      </w:pPr>
      <w:r>
        <w:rPr>
          <w:rFonts w:hint="eastAsia" w:ascii="仿宋_GB2312" w:hAnsi="仿宋_GB2312" w:eastAsia="仿宋_GB2312" w:cs="仿宋_GB2312"/>
          <w:highlight w:val="none"/>
          <w:lang w:eastAsia="zh-CN"/>
        </w:rPr>
        <w:t>截至</w:t>
      </w:r>
      <w:r>
        <w:rPr>
          <w:rFonts w:hint="eastAsia" w:ascii="仿宋_GB2312" w:hAnsi="仿宋_GB2312" w:eastAsia="仿宋_GB2312" w:cs="仿宋_GB2312"/>
          <w:highlight w:val="none"/>
        </w:rPr>
        <w:t>2020年末，全市总播种面积</w:t>
      </w:r>
      <w:r>
        <w:rPr>
          <w:rFonts w:hint="eastAsia" w:ascii="仿宋_GB2312" w:hAnsi="仿宋_GB2312" w:eastAsia="仿宋_GB2312" w:cs="仿宋_GB2312"/>
          <w:highlight w:val="none"/>
          <w:lang w:val="en-US" w:eastAsia="zh-CN"/>
        </w:rPr>
        <w:t>5.2</w:t>
      </w:r>
      <w:r>
        <w:rPr>
          <w:rFonts w:hint="eastAsia" w:ascii="仿宋_GB2312" w:hAnsi="仿宋_GB2312" w:eastAsia="仿宋_GB2312" w:cs="仿宋_GB2312"/>
          <w:highlight w:val="none"/>
        </w:rPr>
        <w:t>万公顷，粮食作物种植面积4.4万公顷，其中青稞播种面积3.5万公顷，小麦播种面积0.6万公顷，油菜籽播种面积0.</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万公顷，蔬菜播种面积0</w:t>
      </w: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万公顷。全年粮食产量19万吨，油菜籽产量</w:t>
      </w:r>
      <w:r>
        <w:rPr>
          <w:rFonts w:hint="eastAsia" w:ascii="仿宋_GB2312" w:hAnsi="仿宋_GB2312" w:eastAsia="仿宋_GB2312" w:cs="仿宋_GB2312"/>
          <w:highlight w:val="none"/>
          <w:lang w:val="en-US" w:eastAsia="zh-CN"/>
        </w:rPr>
        <w:t>0.4万吨</w:t>
      </w:r>
      <w:r>
        <w:rPr>
          <w:rFonts w:hint="eastAsia" w:ascii="仿宋_GB2312" w:hAnsi="仿宋_GB2312" w:eastAsia="仿宋_GB2312" w:cs="仿宋_GB2312"/>
          <w:highlight w:val="none"/>
        </w:rPr>
        <w:t>，蔬菜产量</w:t>
      </w:r>
      <w:r>
        <w:rPr>
          <w:rFonts w:hint="eastAsia" w:ascii="仿宋_GB2312" w:hAnsi="仿宋_GB2312" w:eastAsia="仿宋_GB2312" w:cs="仿宋_GB2312"/>
          <w:highlight w:val="none"/>
          <w:lang w:val="en-US" w:eastAsia="zh-CN"/>
        </w:rPr>
        <w:t>6.7</w:t>
      </w:r>
      <w:r>
        <w:rPr>
          <w:rFonts w:hint="eastAsia" w:ascii="仿宋_GB2312" w:hAnsi="仿宋_GB2312" w:eastAsia="仿宋_GB2312" w:cs="仿宋_GB2312"/>
          <w:highlight w:val="none"/>
        </w:rPr>
        <w:t>万吨，虫草产量22.8吨。年末牲畜存栏总数为221.45万头（只、匹），其中牛149.97万头，羊42.1万只。</w:t>
      </w:r>
    </w:p>
    <w:p w14:paraId="70823B4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2020年全年完成工业总产值31.</w:t>
      </w:r>
      <w:r>
        <w:rPr>
          <w:rFonts w:hint="eastAsia" w:ascii="仿宋_GB2312" w:hAnsi="仿宋_GB2312" w:eastAsia="仿宋_GB2312" w:cs="仿宋_GB2312"/>
          <w:highlight w:val="none"/>
          <w:lang w:val="en-US" w:eastAsia="zh-CN"/>
        </w:rPr>
        <w:t>17</w:t>
      </w:r>
      <w:r>
        <w:rPr>
          <w:rFonts w:hint="eastAsia" w:ascii="仿宋_GB2312" w:hAnsi="仿宋_GB2312" w:eastAsia="仿宋_GB2312" w:cs="仿宋_GB2312"/>
          <w:highlight w:val="none"/>
        </w:rPr>
        <w:t>亿元。其中：规模以上工业总产值完成25.</w:t>
      </w:r>
      <w:r>
        <w:rPr>
          <w:rFonts w:hint="eastAsia" w:ascii="仿宋_GB2312" w:hAnsi="仿宋_GB2312" w:eastAsia="仿宋_GB2312" w:cs="仿宋_GB2312"/>
          <w:highlight w:val="none"/>
          <w:lang w:val="en-US" w:eastAsia="zh-CN"/>
        </w:rPr>
        <w:t>45</w:t>
      </w:r>
      <w:r>
        <w:rPr>
          <w:rFonts w:hint="eastAsia" w:ascii="仿宋_GB2312" w:hAnsi="仿宋_GB2312" w:eastAsia="仿宋_GB2312" w:cs="仿宋_GB2312"/>
          <w:highlight w:val="none"/>
        </w:rPr>
        <w:t>亿元；规模以下工业总产值完成5.7</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亿元。铁矿石原矿产量</w:t>
      </w:r>
      <w:r>
        <w:rPr>
          <w:rFonts w:hint="eastAsia" w:ascii="仿宋_GB2312" w:hAnsi="仿宋_GB2312" w:eastAsia="仿宋_GB2312" w:cs="仿宋_GB2312"/>
          <w:highlight w:val="none"/>
          <w:lang w:val="en-US" w:eastAsia="zh-CN"/>
        </w:rPr>
        <w:t>13.52</w:t>
      </w:r>
      <w:r>
        <w:rPr>
          <w:rFonts w:hint="eastAsia" w:ascii="仿宋_GB2312" w:hAnsi="仿宋_GB2312" w:eastAsia="仿宋_GB2312" w:cs="仿宋_GB2312"/>
          <w:highlight w:val="none"/>
        </w:rPr>
        <w:t>万吨，水泥产量</w:t>
      </w:r>
      <w:r>
        <w:rPr>
          <w:rFonts w:hint="eastAsia" w:ascii="仿宋_GB2312" w:hAnsi="仿宋_GB2312" w:eastAsia="仿宋_GB2312" w:cs="仿宋_GB2312"/>
          <w:highlight w:val="none"/>
          <w:lang w:val="en-US" w:eastAsia="zh-CN"/>
        </w:rPr>
        <w:t>127.8</w:t>
      </w:r>
      <w:r>
        <w:rPr>
          <w:rFonts w:hint="eastAsia" w:ascii="仿宋_GB2312" w:hAnsi="仿宋_GB2312" w:eastAsia="仿宋_GB2312" w:cs="仿宋_GB2312"/>
          <w:highlight w:val="none"/>
        </w:rPr>
        <w:t>万吨，发电量3.61亿千瓦时，精炼铜（电解铜）产量858</w:t>
      </w:r>
      <w:r>
        <w:rPr>
          <w:rFonts w:hint="eastAsia" w:ascii="仿宋_GB2312" w:hAnsi="仿宋_GB2312" w:eastAsia="仿宋_GB2312" w:cs="仿宋_GB2312"/>
          <w:highlight w:val="none"/>
          <w:lang w:val="en-US" w:eastAsia="zh-CN"/>
        </w:rPr>
        <w:t>5.7</w:t>
      </w:r>
      <w:r>
        <w:rPr>
          <w:rFonts w:hint="eastAsia" w:ascii="仿宋_GB2312" w:hAnsi="仿宋_GB2312" w:eastAsia="仿宋_GB2312" w:cs="仿宋_GB2312"/>
          <w:highlight w:val="none"/>
        </w:rPr>
        <w:t>吨，啤酒产量24126</w:t>
      </w:r>
      <w:r>
        <w:rPr>
          <w:rFonts w:hint="eastAsia" w:ascii="仿宋_GB2312" w:hAnsi="仿宋_GB2312" w:eastAsia="仿宋_GB2312" w:cs="仿宋_GB2312"/>
          <w:highlight w:val="none"/>
          <w:lang w:val="en-US" w:eastAsia="zh-CN"/>
        </w:rPr>
        <w:t>.</w:t>
      </w:r>
      <w:r>
        <w:rPr>
          <w:rFonts w:hint="eastAsia" w:ascii="仿宋_GB2312" w:hAnsi="仿宋_GB2312" w:eastAsia="仿宋_GB2312" w:cs="仿宋_GB2312"/>
          <w:highlight w:val="none"/>
        </w:rPr>
        <w:t>8千升，铜金属含量产量2225</w:t>
      </w:r>
      <w:r>
        <w:rPr>
          <w:rFonts w:hint="eastAsia" w:ascii="仿宋_GB2312" w:hAnsi="仿宋_GB2312" w:eastAsia="仿宋_GB2312" w:cs="仿宋_GB2312"/>
          <w:highlight w:val="none"/>
          <w:lang w:val="en-US" w:eastAsia="zh-CN"/>
        </w:rPr>
        <w:t>4.7</w:t>
      </w:r>
      <w:r>
        <w:rPr>
          <w:rFonts w:hint="eastAsia" w:ascii="仿宋_GB2312" w:hAnsi="仿宋_GB2312" w:eastAsia="仿宋_GB2312" w:cs="仿宋_GB2312"/>
          <w:highlight w:val="none"/>
        </w:rPr>
        <w:t>吨。</w:t>
      </w:r>
    </w:p>
    <w:p w14:paraId="2458536A">
      <w:pPr>
        <w:pStyle w:val="27"/>
        <w:pageBreakBefore w:val="0"/>
        <w:widowControl w:val="0"/>
        <w:kinsoku/>
        <w:wordWrap/>
        <w:overflowPunct/>
        <w:topLinePunct w:val="0"/>
        <w:autoSpaceDE/>
        <w:autoSpaceDN/>
        <w:bidi w:val="0"/>
        <w:spacing w:line="576" w:lineRule="exact"/>
        <w:ind w:firstLine="640" w:firstLineChars="200"/>
        <w:textAlignment w:val="auto"/>
        <w:rPr>
          <w:rFonts w:hint="default" w:ascii="仿宋_GB2312" w:hAnsi="仿宋_GB2312" w:eastAsia="仿宋_GB2312" w:cs="仿宋_GB2312"/>
          <w:highlight w:val="none"/>
          <w:lang w:val="en-US" w:eastAsia="zh-CN"/>
        </w:rPr>
      </w:pPr>
    </w:p>
    <w:p w14:paraId="0FF97FD5">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val="0"/>
          <w:bCs/>
          <w:sz w:val="32"/>
          <w:szCs w:val="36"/>
        </w:rPr>
      </w:pPr>
      <w:bookmarkStart w:id="20" w:name="_Toc114063673"/>
      <w:r>
        <w:rPr>
          <w:rFonts w:hint="eastAsia" w:ascii="楷体_GB2312" w:hAnsi="楷体_GB2312" w:eastAsia="楷体_GB2312" w:cs="楷体_GB2312"/>
          <w:b/>
          <w:bCs w:val="0"/>
          <w:sz w:val="32"/>
          <w:szCs w:val="36"/>
        </w:rPr>
        <w:t>（二）水安全现状</w:t>
      </w:r>
      <w:bookmarkEnd w:id="20"/>
    </w:p>
    <w:p w14:paraId="41D12AD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昌都市委、市政府高度重视水利工作，</w:t>
      </w:r>
      <w:r>
        <w:rPr>
          <w:rFonts w:hint="eastAsia" w:ascii="仿宋_GB2312" w:hAnsi="仿宋_GB2312" w:eastAsia="仿宋_GB2312" w:cs="仿宋_GB2312"/>
          <w:lang w:eastAsia="zh-CN"/>
        </w:rPr>
        <w:t>始终坚持</w:t>
      </w:r>
      <w:r>
        <w:rPr>
          <w:rFonts w:hint="eastAsia" w:ascii="仿宋_GB2312" w:hAnsi="仿宋_GB2312" w:eastAsia="仿宋_GB2312" w:cs="仿宋_GB2312"/>
        </w:rPr>
        <w:t>以习近平新时代中国特色社会主义思想为指导，“十三五”期间，认真贯彻落实党的十九大和十九届</w:t>
      </w:r>
      <w:r>
        <w:rPr>
          <w:rFonts w:hint="eastAsia" w:ascii="仿宋_GB2312" w:hAnsi="仿宋_GB2312" w:eastAsia="仿宋_GB2312" w:cs="仿宋_GB2312"/>
          <w:lang w:val="en-US" w:eastAsia="zh-CN"/>
        </w:rPr>
        <w:t>历次</w:t>
      </w:r>
      <w:r>
        <w:rPr>
          <w:rFonts w:hint="eastAsia" w:ascii="仿宋_GB2312" w:hAnsi="仿宋_GB2312" w:eastAsia="仿宋_GB2312" w:cs="仿宋_GB2312"/>
        </w:rPr>
        <w:t>全会精神，牢固树立新发展理念和贯彻新时期水利工作方针，全社会对水安全的认识达到新的高度，治水兴水进入一个新的阶段。5年来，水利基础设施建设全面加强，水利改革发展全面推进，水利行业监管能力全面提升，为全市经济社会发展提供了强有力的水安全保障。</w:t>
      </w:r>
    </w:p>
    <w:p w14:paraId="428FA610">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6"/>
        </w:rPr>
      </w:pPr>
      <w:bookmarkStart w:id="21" w:name="_Toc78187423"/>
      <w:bookmarkStart w:id="22" w:name="_Toc78187572"/>
      <w:bookmarkStart w:id="23" w:name="_Toc113972128"/>
      <w:bookmarkStart w:id="24" w:name="_Toc114063674"/>
      <w:r>
        <w:rPr>
          <w:rFonts w:hint="eastAsia" w:ascii="仿宋_GB2312" w:hAnsi="仿宋_GB2312" w:eastAsia="仿宋_GB2312" w:cs="仿宋_GB2312"/>
          <w:b/>
          <w:bCs/>
          <w:sz w:val="32"/>
          <w:szCs w:val="36"/>
        </w:rPr>
        <w:t>1</w:t>
      </w:r>
      <w:r>
        <w:rPr>
          <w:rFonts w:hint="eastAsia" w:ascii="仿宋_GB2312" w:hAnsi="仿宋_GB2312" w:eastAsia="仿宋_GB2312" w:cs="仿宋_GB2312"/>
          <w:b/>
          <w:bCs/>
          <w:sz w:val="32"/>
          <w:szCs w:val="36"/>
          <w:lang w:eastAsia="zh-CN"/>
        </w:rPr>
        <w:t>.</w:t>
      </w:r>
      <w:r>
        <w:rPr>
          <w:rFonts w:hint="eastAsia" w:ascii="仿宋_GB2312" w:hAnsi="仿宋_GB2312" w:eastAsia="仿宋_GB2312" w:cs="仿宋_GB2312"/>
          <w:b/>
          <w:bCs/>
          <w:sz w:val="32"/>
          <w:szCs w:val="36"/>
        </w:rPr>
        <w:t>水资源节约力度不断加大</w:t>
      </w:r>
      <w:bookmarkEnd w:id="21"/>
      <w:bookmarkEnd w:id="22"/>
      <w:bookmarkEnd w:id="23"/>
      <w:bookmarkEnd w:id="24"/>
    </w:p>
    <w:p w14:paraId="3F4F753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十三五”期间，昌都市严格落实水资源“三条红线”，积极推进定额管理和计划用水管理机制建立，完善了取水许可制度，加快灌区节水改造和高效节水技术推广，努力推动城市节水降损，大力推动全社会节水，使水资源利用效率得到了提高。2020年万元工业增加值用水量较2015年下降25%，全市用水总量控制指标、用水效率控制指标、水功能区限制纳污指标均满足考核要求。</w:t>
      </w:r>
    </w:p>
    <w:p w14:paraId="1B88992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严格落实水资源“三条红线”。“十三五”期间制定并下发了《昌都市实行最严格水资源管理制度考核办法》，同年市发改、水利等部门联合制定并印发了《昌都市“十三五”水资源消耗总量和强度双控行动实施方案》。</w:t>
      </w:r>
    </w:p>
    <w:p w14:paraId="6CF673E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积极推进定额管理和计划用水管理机制建立。制定出台了《昌都市节约用水管理制度》，并有序推动江达县县域节水型社会试点工作的开展。完善了取水许可制度，昌都市水利局制定下发了《关于印发</w:t>
      </w:r>
      <w:r>
        <w:rPr>
          <w:rFonts w:hint="eastAsia" w:ascii="仿宋_GB2312" w:hAnsi="仿宋_GB2312" w:eastAsia="仿宋_GB2312" w:cs="仿宋_GB2312"/>
          <w:highlight w:val="none"/>
        </w:rPr>
        <w:t>〈</w:t>
      </w:r>
      <w:r>
        <w:rPr>
          <w:rFonts w:hint="eastAsia" w:ascii="仿宋_GB2312" w:hAnsi="仿宋_GB2312" w:eastAsia="仿宋_GB2312" w:cs="仿宋_GB2312"/>
        </w:rPr>
        <w:t>昌都市取水许可办理及水资源费征收工作实施方案</w:t>
      </w:r>
      <w:r>
        <w:rPr>
          <w:rFonts w:hint="eastAsia" w:ascii="仿宋_GB2312" w:hAnsi="仿宋_GB2312" w:eastAsia="仿宋_GB2312" w:cs="仿宋_GB2312"/>
          <w:highlight w:val="none"/>
        </w:rPr>
        <w:t>〉</w:t>
      </w:r>
      <w:r>
        <w:rPr>
          <w:rFonts w:hint="eastAsia" w:ascii="仿宋_GB2312" w:hAnsi="仿宋_GB2312" w:eastAsia="仿宋_GB2312" w:cs="仿宋_GB2312"/>
        </w:rPr>
        <w:t>的通知》（昌水政〔2016〕222号）。</w:t>
      </w:r>
    </w:p>
    <w:p w14:paraId="1EB521E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加快灌区节水改造和高效节水技术推广。“十三五”期间共实施重点灌区与节水增效项目24项，农田灌溉水利用系数从0.26提高到0.46，水资源利用效率切实</w:t>
      </w:r>
      <w:r>
        <w:rPr>
          <w:rFonts w:hint="eastAsia" w:ascii="仿宋_GB2312" w:hAnsi="仿宋_GB2312" w:eastAsia="仿宋_GB2312" w:cs="仿宋_GB2312"/>
          <w:lang w:val="en-US" w:eastAsia="zh-CN"/>
        </w:rPr>
        <w:t>得到</w:t>
      </w:r>
      <w:r>
        <w:rPr>
          <w:rFonts w:hint="eastAsia" w:ascii="仿宋_GB2312" w:hAnsi="仿宋_GB2312" w:eastAsia="仿宋_GB2312" w:cs="仿宋_GB2312"/>
        </w:rPr>
        <w:t>提高。</w:t>
      </w:r>
    </w:p>
    <w:p w14:paraId="124C6654">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25" w:name="_Toc114063675"/>
      <w:bookmarkStart w:id="26" w:name="_Toc78187573"/>
      <w:bookmarkStart w:id="27" w:name="_Toc78187424"/>
      <w:bookmarkStart w:id="28" w:name="_Toc113972129"/>
      <w:r>
        <w:rPr>
          <w:rFonts w:hint="eastAsia" w:ascii="仿宋_GB2312" w:hAnsi="仿宋_GB2312" w:eastAsia="仿宋_GB2312" w:cs="仿宋_GB2312"/>
          <w:sz w:val="32"/>
          <w:szCs w:val="36"/>
        </w:rPr>
        <w:t>2</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防汛抗旱减灾成效显著</w:t>
      </w:r>
      <w:bookmarkEnd w:id="25"/>
      <w:bookmarkEnd w:id="26"/>
      <w:bookmarkEnd w:id="27"/>
      <w:bookmarkEnd w:id="28"/>
    </w:p>
    <w:p w14:paraId="5FFC748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澜沧江、怒江等主要河流重点河段的防洪能力显著增强，县城、乡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在地和重要居民聚集区的洪涝防御能力明显提升，山洪灾害预警预报能力得到增强，防灾减灾能力和应急处置能力得到显著提升。“十三五”期间，实施了江达、卡若、类乌齐、芒康、丁青等5个县城的6处防洪工程建设；开展了澜沧江、怒江、麦曲、达曲等24条中小河流重要河段治理；对昌都市卡若区琼卡水库进行了除险加固；完成通夏村排洪沟、野堆村排洪沟（赤达沟）等4条山洪沟防洪治理，连续四年对山洪灾害预警设施进行安装及更新，并在八宿县、贡觉县设立防汛抗旱物资储备库。</w:t>
      </w:r>
    </w:p>
    <w:p w14:paraId="5B5849CC">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2"/>
        </w:rPr>
      </w:pPr>
      <w:bookmarkStart w:id="29" w:name="_Toc114063676"/>
      <w:bookmarkStart w:id="30" w:name="_Toc78187574"/>
      <w:bookmarkStart w:id="31" w:name="_Toc78187425"/>
      <w:bookmarkStart w:id="32" w:name="_Toc113972130"/>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供水安全保障能力持续提升</w:t>
      </w:r>
      <w:bookmarkEnd w:id="29"/>
      <w:bookmarkEnd w:id="30"/>
      <w:bookmarkEnd w:id="31"/>
      <w:bookmarkEnd w:id="32"/>
    </w:p>
    <w:p w14:paraId="0A4901F8">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五”期间，重点水源工程、农村人饮安全巩固提升工程、城市水源地工程、重点灌区与节水增效工程、小型农田水利设施等供水工程建设步伐加快，民众的生产生活条件明显改善。推动一批重点水源工程建设，其中扎仓嘎水库工程已经下闸蓄水，宗通卡水利枢纽工程、弄利措水库、马曲河水库等水源工程的前期工作正在稳步推进中。有序开展</w:t>
      </w:r>
      <w:r>
        <w:rPr>
          <w:rFonts w:hint="eastAsia" w:ascii="仿宋_GB2312" w:hAnsi="仿宋_GB2312" w:eastAsia="仿宋_GB2312" w:cs="仿宋_GB2312"/>
          <w:sz w:val="32"/>
          <w:szCs w:val="32"/>
          <w:lang w:val="en-US" w:eastAsia="zh-CN"/>
        </w:rPr>
        <w:t>11县（区）</w:t>
      </w:r>
      <w:r>
        <w:rPr>
          <w:rFonts w:hint="eastAsia" w:ascii="仿宋_GB2312" w:hAnsi="仿宋_GB2312" w:eastAsia="仿宋_GB2312" w:cs="仿宋_GB2312"/>
          <w:sz w:val="32"/>
          <w:szCs w:val="32"/>
        </w:rPr>
        <w:t>农村饮水安全项目，累计解决了69.21万人饮水安全问题，农村自来水普及率达到93%。对江达、洛隆、贡觉3县的县城水源地进行了综合整治，受益人口5.15万人。实施了24个重点灌区与节水增效工程，新增（改善）灌溉面积18万亩。实施了23个小型农田水利重点县、专项县项目，新增（改善）灌溉面积22.19万亩。</w:t>
      </w:r>
    </w:p>
    <w:p w14:paraId="1C60E4E5">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2"/>
        </w:rPr>
      </w:pPr>
      <w:bookmarkStart w:id="33" w:name="_Toc113972131"/>
      <w:bookmarkStart w:id="34" w:name="_Toc114063677"/>
      <w:bookmarkStart w:id="35" w:name="_Toc78187575"/>
      <w:bookmarkStart w:id="36" w:name="_Toc78187426"/>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水生态保护与修复治理稳步推进</w:t>
      </w:r>
      <w:bookmarkEnd w:id="33"/>
      <w:bookmarkEnd w:id="34"/>
      <w:bookmarkEnd w:id="35"/>
      <w:bookmarkEnd w:id="36"/>
    </w:p>
    <w:p w14:paraId="73A9AEF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水土保持综合治理、入河排污口监管、生态红线划定等工作，加大了水生态保护力度。实施了昌都市察雅县烟多镇曲松沟水土流失工程、昌都市芒康县嘎托镇加它顶水土流失综合治理工程等8个水土流失治理工程，新增水土流失治理面积176.82</w:t>
      </w:r>
      <w:r>
        <w:rPr>
          <w:rFonts w:hint="eastAsia" w:ascii="仿宋_GB2312" w:hAnsi="仿宋_GB2312" w:eastAsia="仿宋_GB2312" w:cs="仿宋_GB2312"/>
          <w:sz w:val="32"/>
          <w:szCs w:val="32"/>
          <w:lang w:eastAsia="zh-CN"/>
        </w:rPr>
        <w:t>平方公里</w:t>
      </w:r>
      <w:r>
        <w:rPr>
          <w:rFonts w:hint="eastAsia" w:ascii="仿宋_GB2312" w:hAnsi="仿宋_GB2312" w:eastAsia="仿宋_GB2312" w:cs="仿宋_GB2312"/>
          <w:sz w:val="32"/>
          <w:szCs w:val="32"/>
        </w:rPr>
        <w:t>。实施了昌都市类乌齐县紫曲源头流域水生态保护工程，新增草场补水面积4800亩，新增草地5592亩。积极开展入河（湖库）排污口摸排及设置同意工作，切实加强入河排污口日常监管工作。积极配合开展全市水利系统生态红线划定，收集汇总并上报昌都市水利系统生态红线划定涉及建设项目661项，配合自治区水利厅完成昌都市项目落图及复核工作。</w:t>
      </w:r>
    </w:p>
    <w:p w14:paraId="38571ADD">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2"/>
        </w:rPr>
      </w:pPr>
      <w:bookmarkStart w:id="37" w:name="_Toc114063678"/>
      <w:bookmarkStart w:id="38" w:name="_Toc78187576"/>
      <w:bookmarkStart w:id="39" w:name="_Toc113972132"/>
      <w:bookmarkStart w:id="40" w:name="_Toc78187427"/>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水治理体系日臻完善</w:t>
      </w:r>
      <w:bookmarkEnd w:id="37"/>
      <w:bookmarkEnd w:id="38"/>
      <w:bookmarkEnd w:id="39"/>
      <w:bookmarkEnd w:id="40"/>
    </w:p>
    <w:p w14:paraId="745897B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“十三五”期间，河湖长制全面建立，探索建立开展国家投资非经营性水利项目代建制，昌都市水治理体系日臻完善。</w:t>
      </w:r>
    </w:p>
    <w:p w14:paraId="52527A24">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河湖长制全面建立。已建立</w:t>
      </w:r>
      <w:r>
        <w:rPr>
          <w:rFonts w:hint="eastAsia" w:ascii="仿宋_GB2312" w:hAnsi="仿宋_GB2312" w:eastAsia="仿宋_GB2312" w:cs="仿宋_GB2312"/>
          <w:sz w:val="32"/>
          <w:szCs w:val="32"/>
          <w:lang w:val="en-US" w:eastAsia="zh-CN"/>
        </w:rPr>
        <w:t>健全自治区、</w:t>
      </w:r>
      <w:r>
        <w:rPr>
          <w:rFonts w:hint="eastAsia" w:ascii="仿宋_GB2312" w:hAnsi="仿宋_GB2312" w:eastAsia="仿宋_GB2312" w:cs="仿宋_GB2312"/>
          <w:sz w:val="32"/>
          <w:szCs w:val="32"/>
          <w:highlight w:val="none"/>
        </w:rPr>
        <w:t>市、县（区）、乡（镇）、村五级河长体系，</w:t>
      </w:r>
      <w:r>
        <w:rPr>
          <w:rFonts w:hint="eastAsia" w:ascii="仿宋_GB2312" w:hAnsi="仿宋_GB2312" w:eastAsia="仿宋_GB2312" w:cs="仿宋_GB2312"/>
          <w:sz w:val="32"/>
          <w:szCs w:val="32"/>
        </w:rPr>
        <w:t>设置了总河长和43名市级河长，11县（区）138个乡（镇）均成立了河湖长制工作领导小组，也相应设置了总河长、县级、乡级河长，并将水资源开发企业纳入河长体系，设立企业河长。制定出台《昌都市全面推行河长制工作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昌都市河长会议制度》等多项方案制度。昌都市河长办通过定期督查、不定期检查等方式开展督导检查，以确保河长制工作顺利开展。昌都市河长办完成澜沧江、金沙江、怒江、盖曲等62条（座）市级河（湖）“一河（湖）一策”实施方案，并按照水利部《“一河（湖）一档”建设指南（试行）》</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rPr>
        <w:t>逐步建立完善河湖水库基本信息及动态信息。昌都市河长办下发《昌都市河长制工作办公室关于开展清理河湖沿线垃圾工作的通知》，组织各县（区）河湖长组织对河湖（水库）沿线环境进行专项整治并建立了长效机制，同时按照水利部、自治区总河长办统一安排部署，积极推进全市流域面积50</w:t>
      </w:r>
      <w:r>
        <w:rPr>
          <w:rFonts w:hint="eastAsia" w:ascii="仿宋_GB2312" w:hAnsi="仿宋_GB2312" w:eastAsia="仿宋_GB2312" w:cs="仿宋_GB2312"/>
          <w:sz w:val="32"/>
          <w:szCs w:val="32"/>
          <w:lang w:eastAsia="zh-CN"/>
        </w:rPr>
        <w:t>平方公里</w:t>
      </w:r>
      <w:r>
        <w:rPr>
          <w:rFonts w:hint="eastAsia" w:ascii="仿宋_GB2312" w:hAnsi="仿宋_GB2312" w:eastAsia="仿宋_GB2312" w:cs="仿宋_GB2312"/>
          <w:sz w:val="32"/>
          <w:szCs w:val="32"/>
        </w:rPr>
        <w:t>以上河流及水域面积1</w:t>
      </w:r>
      <w:r>
        <w:rPr>
          <w:rFonts w:hint="eastAsia" w:ascii="仿宋_GB2312" w:hAnsi="仿宋_GB2312" w:eastAsia="仿宋_GB2312" w:cs="仿宋_GB2312"/>
          <w:sz w:val="32"/>
          <w:szCs w:val="32"/>
          <w:lang w:eastAsia="zh-CN"/>
        </w:rPr>
        <w:t>平方公里</w:t>
      </w:r>
      <w:r>
        <w:rPr>
          <w:rFonts w:hint="eastAsia" w:ascii="仿宋_GB2312" w:hAnsi="仿宋_GB2312" w:eastAsia="仿宋_GB2312" w:cs="仿宋_GB2312"/>
          <w:sz w:val="32"/>
          <w:szCs w:val="32"/>
        </w:rPr>
        <w:t>以上湖泊“四乱”问题整治工作，生态及周边环境显著改善，人民群众获得感逐步提高。同时，按照《水利部关于印发河湖岸线保护与规划编制指南（试行）的通知》和《西藏自治区水利厅关于推进确权划界工作指导意见</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有关要求，积极筹备推进确权划界及岸线保护与规划工作。</w:t>
      </w:r>
    </w:p>
    <w:p w14:paraId="112604C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推行项目建设总承包制、代建制，探索建立开展国家投资非经营性水利项目代建制。根据《中共中央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国务院关于加快水利改革发展的决定》（中发〔2011〕1号）、《国务院关于投资体制改革的决定》（国发〔</w:t>
      </w:r>
      <w:r>
        <w:rPr>
          <w:rFonts w:hint="eastAsia" w:ascii="仿宋_GB2312" w:hAnsi="仿宋_GB2312" w:eastAsia="仿宋_GB2312" w:cs="仿宋_GB2312"/>
          <w:sz w:val="32"/>
          <w:szCs w:val="32"/>
          <w:lang w:val="en-US" w:eastAsia="zh-CN"/>
        </w:rPr>
        <w:t>2004</w:t>
      </w:r>
      <w:r>
        <w:rPr>
          <w:rFonts w:hint="eastAsia" w:ascii="仿宋_GB2312" w:hAnsi="仿宋_GB2312" w:eastAsia="仿宋_GB2312" w:cs="仿宋_GB2312"/>
          <w:sz w:val="32"/>
          <w:szCs w:val="32"/>
        </w:rPr>
        <w:t>〕20号）和《水利部关于水利工程建设项目代建制管理指导意见》（水建管〔2015〕91号）精神，昌都市积极推进水利项目建设代建，</w:t>
      </w:r>
      <w:r>
        <w:rPr>
          <w:rFonts w:hint="eastAsia" w:ascii="仿宋_GB2312" w:hAnsi="仿宋_GB2312" w:eastAsia="仿宋_GB2312" w:cs="仿宋_GB2312"/>
          <w:sz w:val="32"/>
          <w:szCs w:val="32"/>
          <w:highlight w:val="none"/>
        </w:rPr>
        <w:t>2015年昌都市向自治区提交了《关于昌都市国家投资非经营性水利项目推行代建制的请示》并获得</w:t>
      </w:r>
      <w:r>
        <w:rPr>
          <w:rFonts w:hint="eastAsia" w:ascii="仿宋_GB2312" w:hAnsi="仿宋_GB2312" w:eastAsia="仿宋_GB2312" w:cs="仿宋_GB2312"/>
          <w:sz w:val="32"/>
          <w:szCs w:val="32"/>
          <w:highlight w:val="none"/>
          <w:lang w:val="en-US" w:eastAsia="zh-CN"/>
        </w:rPr>
        <w:t>自治区</w:t>
      </w:r>
      <w:r>
        <w:rPr>
          <w:rFonts w:hint="eastAsia" w:ascii="仿宋_GB2312" w:hAnsi="仿宋_GB2312" w:eastAsia="仿宋_GB2312" w:cs="仿宋_GB2312"/>
          <w:sz w:val="32"/>
          <w:szCs w:val="32"/>
          <w:highlight w:val="none"/>
        </w:rPr>
        <w:t>批准。马</w:t>
      </w:r>
      <w:r>
        <w:rPr>
          <w:rFonts w:hint="eastAsia" w:ascii="仿宋_GB2312" w:hAnsi="仿宋_GB2312" w:eastAsia="仿宋_GB2312" w:cs="仿宋_GB2312"/>
          <w:sz w:val="32"/>
          <w:szCs w:val="32"/>
        </w:rPr>
        <w:t>曲拥电站、当堆水电站及扎仓嘎水库工程均采用代建招标实施建设，依托大企业强大的技术和人才实力，实现了专业化的项目管理。</w:t>
      </w:r>
    </w:p>
    <w:p w14:paraId="5A3EEA64">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2"/>
        </w:rPr>
      </w:pPr>
      <w:bookmarkStart w:id="41" w:name="_Toc113972133"/>
      <w:bookmarkStart w:id="42" w:name="_Toc114063679"/>
      <w:bookmarkStart w:id="43" w:name="_Toc78187577"/>
      <w:bookmarkStart w:id="44" w:name="_Toc78187428"/>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重点领域改革取得积极进展</w:t>
      </w:r>
      <w:bookmarkEnd w:id="41"/>
      <w:bookmarkEnd w:id="42"/>
      <w:bookmarkEnd w:id="43"/>
      <w:bookmarkEnd w:id="44"/>
    </w:p>
    <w:p w14:paraId="036D885C">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“十三五”期间，昌都市依据《西藏自治区水利厅深化“放管服”改革实施方案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权力责任清单》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不断深化水利“放管服”改革，进一步规范和简化行政审批程序，提高审批办事效率，积极探索农业水价综合改革，并</w:t>
      </w:r>
      <w:r>
        <w:rPr>
          <w:rFonts w:hint="eastAsia" w:ascii="仿宋_GB2312" w:hAnsi="仿宋_GB2312" w:eastAsia="仿宋_GB2312" w:cs="仿宋_GB2312"/>
          <w:sz w:val="32"/>
          <w:szCs w:val="32"/>
          <w:lang w:val="en-US" w:eastAsia="zh-CN"/>
        </w:rPr>
        <w:t>大力</w:t>
      </w:r>
      <w:r>
        <w:rPr>
          <w:rFonts w:hint="eastAsia" w:ascii="仿宋_GB2312" w:hAnsi="仿宋_GB2312" w:eastAsia="仿宋_GB2312" w:cs="仿宋_GB2312"/>
          <w:sz w:val="32"/>
          <w:szCs w:val="32"/>
        </w:rPr>
        <w:t>推动水生态补偿奖励机制试点。</w:t>
      </w:r>
    </w:p>
    <w:p w14:paraId="06EA0AC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不断深化水利“放管服”改革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昌都市申请将“水土保持方案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水资源论证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水工程规划同意书”和“防洪影响评价”等审查工作交由专业的第三方咨询公司进行评审，列入政府购买服务内容，并</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rPr>
        <w:t>市财政局进行审批，</w:t>
      </w:r>
      <w:r>
        <w:rPr>
          <w:rFonts w:hint="eastAsia" w:ascii="仿宋_GB2312" w:hAnsi="仿宋_GB2312" w:eastAsia="仿宋_GB2312" w:cs="仿宋_GB2312"/>
          <w:sz w:val="32"/>
          <w:szCs w:val="32"/>
          <w:lang w:eastAsia="zh-CN"/>
        </w:rPr>
        <w:t>减轻</w:t>
      </w:r>
      <w:r>
        <w:rPr>
          <w:rFonts w:hint="eastAsia" w:ascii="仿宋_GB2312" w:hAnsi="仿宋_GB2312" w:eastAsia="仿宋_GB2312" w:cs="仿宋_GB2312"/>
          <w:sz w:val="32"/>
          <w:szCs w:val="32"/>
        </w:rPr>
        <w:t>了业主和编制单位经济负担，缩短了审查审批时间。</w:t>
      </w:r>
    </w:p>
    <w:p w14:paraId="7DF881B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highlight w:val="red"/>
        </w:rPr>
      </w:pPr>
      <w:r>
        <w:rPr>
          <w:rFonts w:hint="eastAsia" w:ascii="仿宋_GB2312" w:hAnsi="仿宋_GB2312" w:eastAsia="仿宋_GB2312" w:cs="仿宋_GB2312"/>
          <w:sz w:val="32"/>
          <w:szCs w:val="32"/>
        </w:rPr>
        <w:t>积极探索农业水价综合改革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探索开展农田灌溉水价征收工作，由各县（区）水利局和各乡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政府、村委会、用水户协会、水管员和群众代表共同参与制定水价</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制定水价标准时充分考虑当地群众实际收入，按亩计收取农田灌溉水价；</w:t>
      </w:r>
      <w:r>
        <w:rPr>
          <w:rFonts w:hint="eastAsia" w:ascii="仿宋_GB2312" w:hAnsi="仿宋_GB2312" w:eastAsia="仿宋_GB2312" w:cs="仿宋_GB2312"/>
          <w:sz w:val="32"/>
          <w:szCs w:val="32"/>
          <w:highlight w:val="none"/>
        </w:rPr>
        <w:t>以江达县波罗乡古色三队为典型，在全市各县（区）推广、开展农村饮水水费征收工作。</w:t>
      </w:r>
    </w:p>
    <w:p w14:paraId="79FC73E2">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大力</w:t>
      </w:r>
      <w:r>
        <w:rPr>
          <w:rFonts w:hint="eastAsia" w:ascii="仿宋_GB2312" w:hAnsi="仿宋_GB2312" w:eastAsia="仿宋_GB2312" w:cs="仿宋_GB2312"/>
          <w:sz w:val="32"/>
          <w:szCs w:val="32"/>
        </w:rPr>
        <w:t>推动水生态补偿奖励机制试点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开展昌都市察雅县水生态保护补偿奖励机制试点项目，所有工程措施均已完工并验收，非工程措施已通过昌都水文分局现场监测，监测结果良好。</w:t>
      </w:r>
    </w:p>
    <w:p w14:paraId="2250D499">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2"/>
        </w:rPr>
      </w:pPr>
      <w:bookmarkStart w:id="45" w:name="_Toc78187429"/>
      <w:bookmarkStart w:id="46" w:name="_Toc114063680"/>
      <w:bookmarkStart w:id="47" w:name="_Toc113972134"/>
      <w:bookmarkStart w:id="48" w:name="_Toc78187578"/>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水利行业管理能力明显增强</w:t>
      </w:r>
      <w:bookmarkEnd w:id="45"/>
      <w:bookmarkEnd w:id="46"/>
      <w:bookmarkEnd w:id="47"/>
      <w:bookmarkEnd w:id="48"/>
    </w:p>
    <w:p w14:paraId="1457736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五”期间，逐步建立规划约束机制，加强水利人才队伍建设，不断强化水行政执法监督力度。继续大力推动嘎托河、热曲、藏曲等25条河流的流域综合规划的编制审查工作，逐步建立规划约束机制。通过引进各类水利人才、加强人才培训与交流、完善人才援藏机制等方式充实了水利人才队伍，水利人才队伍不断壮大。不断强化水行政执法监督力度，坚持把国家和自治区关于水资源利用保护系列</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的实施放在更加突出的位置，以取水许可、水资源费征收、河道采砂、水土保持等为重点，从严查处水事违法行为，做到有法必依、执法必严、违法必究。</w:t>
      </w:r>
    </w:p>
    <w:p w14:paraId="32270EFD">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49" w:name="_Toc114063681"/>
      <w:r>
        <w:rPr>
          <w:rFonts w:hint="eastAsia" w:ascii="楷体_GB2312" w:hAnsi="楷体_GB2312" w:eastAsia="楷体_GB2312" w:cs="楷体_GB2312"/>
          <w:b/>
          <w:bCs w:val="0"/>
          <w:sz w:val="32"/>
          <w:szCs w:val="36"/>
        </w:rPr>
        <w:t>（三）面临形势</w:t>
      </w:r>
      <w:bookmarkEnd w:id="49"/>
    </w:p>
    <w:p w14:paraId="7940DF0D">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昌都市水利建设虽然得到了快速发展，但由于水利起步晚、起点低、底子薄，水利建设仍然滞后，在防洪减灾、水资源调配、水生态保护、管理能力等方面仍存在一些问题。</w:t>
      </w:r>
      <w:bookmarkStart w:id="50" w:name="_Toc78187432"/>
      <w:bookmarkStart w:id="51" w:name="_Toc78187581"/>
      <w:r>
        <w:rPr>
          <w:rFonts w:hint="eastAsia" w:ascii="楷体_GB2312" w:hAnsi="楷体_GB2312" w:eastAsia="楷体_GB2312" w:cs="楷体_GB2312"/>
        </w:rPr>
        <w:t>一是防洪减灾体系尚</w:t>
      </w:r>
      <w:r>
        <w:rPr>
          <w:rFonts w:hint="eastAsia" w:ascii="楷体_GB2312" w:hAnsi="楷体_GB2312" w:eastAsia="楷体_GB2312" w:cs="楷体_GB2312"/>
          <w:lang w:eastAsia="zh-CN"/>
        </w:rPr>
        <w:t>存在</w:t>
      </w:r>
      <w:r>
        <w:rPr>
          <w:rFonts w:hint="eastAsia" w:ascii="楷体_GB2312" w:hAnsi="楷体_GB2312" w:eastAsia="楷体_GB2312" w:cs="楷体_GB2312"/>
        </w:rPr>
        <w:t>薄弱环节</w:t>
      </w:r>
      <w:bookmarkEnd w:id="50"/>
      <w:bookmarkEnd w:id="51"/>
      <w:r>
        <w:rPr>
          <w:rFonts w:hint="eastAsia" w:ascii="楷体_GB2312" w:hAnsi="楷体_GB2312" w:eastAsia="楷体_GB2312" w:cs="楷体_GB2312"/>
        </w:rPr>
        <w:t>，防御洪水灾害能力存在短板。</w:t>
      </w:r>
      <w:r>
        <w:rPr>
          <w:rFonts w:hint="eastAsia" w:ascii="仿宋_GB2312" w:hAnsi="仿宋_GB2312" w:eastAsia="仿宋_GB2312" w:cs="仿宋_GB2312"/>
        </w:rPr>
        <w:t>近年来防洪工程建设主要集中在经济比较发达、人口密集和防洪形势较为严峻的县城或重点河段，部分县城新城区、乡</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镇</w:t>
      </w:r>
      <w:r>
        <w:rPr>
          <w:rFonts w:hint="eastAsia" w:ascii="仿宋_GB2312" w:hAnsi="仿宋_GB2312" w:eastAsia="仿宋_GB2312" w:cs="仿宋_GB2312"/>
          <w:lang w:eastAsia="zh-CN"/>
        </w:rPr>
        <w:t>）</w:t>
      </w:r>
      <w:r>
        <w:rPr>
          <w:rFonts w:hint="eastAsia" w:ascii="仿宋_GB2312" w:hAnsi="仿宋_GB2312" w:eastAsia="仿宋_GB2312" w:cs="仿宋_GB2312"/>
        </w:rPr>
        <w:t>及人口密集区缺乏防洪保护措施，山洪灾害仍然威胁当地人民群众的生活生产安全。江达、边坝、贡觉、洛隆等县城防洪标准尚不达标</w:t>
      </w:r>
      <w:r>
        <w:rPr>
          <w:rFonts w:hint="eastAsia" w:ascii="仿宋_GB2312" w:hAnsi="仿宋_GB2312" w:eastAsia="仿宋_GB2312" w:cs="仿宋_GB2312"/>
          <w:lang w:eastAsia="zh-CN"/>
        </w:rPr>
        <w:t>；</w:t>
      </w:r>
      <w:r>
        <w:rPr>
          <w:rFonts w:hint="eastAsia" w:ascii="仿宋_GB2312" w:hAnsi="仿宋_GB2312" w:eastAsia="仿宋_GB2312" w:cs="仿宋_GB2312"/>
        </w:rPr>
        <w:t>昂曲、伟曲、盖曲、藏曲、通天河等河流沿岸部分城镇、乡村缺少防护工程</w:t>
      </w:r>
      <w:r>
        <w:rPr>
          <w:rFonts w:hint="eastAsia" w:ascii="仿宋_GB2312" w:hAnsi="仿宋_GB2312" w:eastAsia="仿宋_GB2312" w:cs="仿宋_GB2312"/>
          <w:lang w:eastAsia="zh-CN"/>
        </w:rPr>
        <w:t>；</w:t>
      </w:r>
      <w:r>
        <w:rPr>
          <w:rFonts w:hint="eastAsia" w:ascii="仿宋_GB2312" w:hAnsi="仿宋_GB2312" w:eastAsia="仿宋_GB2312" w:cs="仿宋_GB2312"/>
        </w:rPr>
        <w:t>江达县、丁青县、察雅县、八宿县、洛隆县等有7条山洪沟亟待治理。</w:t>
      </w:r>
      <w:bookmarkStart w:id="52" w:name="_Toc78187431"/>
      <w:bookmarkStart w:id="53" w:name="_Toc78187580"/>
      <w:r>
        <w:rPr>
          <w:rFonts w:hint="eastAsia" w:ascii="楷体_GB2312" w:hAnsi="楷体_GB2312" w:eastAsia="楷体_GB2312" w:cs="楷体_GB2312"/>
        </w:rPr>
        <w:t>二是水资源供需矛盾依然突出，供水安全保障能力有待进一步提升。</w:t>
      </w:r>
      <w:r>
        <w:rPr>
          <w:rFonts w:hint="eastAsia" w:ascii="仿宋_GB2312" w:hAnsi="仿宋_GB2312" w:eastAsia="仿宋_GB2312" w:cs="仿宋_GB2312"/>
        </w:rPr>
        <w:t>昌都水资源丰沛，但水资源调控能力不足，水资源开发利用率较低，城镇供水保障程度不高，现有农村安全饮水工程供水多为分散供水，没有建设集中水源工程，供水能力不足，农牧业灌溉缺水矛盾突出。灌溉排水设施普遍存在标准低、配套差，老化失修，效益衰减等问题</w:t>
      </w:r>
      <w:bookmarkEnd w:id="52"/>
      <w:bookmarkEnd w:id="53"/>
      <w:r>
        <w:rPr>
          <w:rFonts w:hint="eastAsia" w:ascii="仿宋_GB2312" w:hAnsi="仿宋_GB2312" w:eastAsia="仿宋_GB2312" w:cs="仿宋_GB2312"/>
        </w:rPr>
        <w:t>，节水型社会推进缓慢，节水型生产和生活方式尚未建立。</w:t>
      </w:r>
      <w:r>
        <w:rPr>
          <w:rFonts w:hint="eastAsia" w:ascii="楷体_GB2312" w:hAnsi="楷体_GB2312" w:eastAsia="楷体_GB2312" w:cs="楷体_GB2312"/>
        </w:rPr>
        <w:t>三是河湖生态退化风险不断增大，水生态环境修复与治理力度亟待加强。</w:t>
      </w:r>
      <w:r>
        <w:rPr>
          <w:rFonts w:hint="eastAsia" w:ascii="仿宋_GB2312" w:hAnsi="仿宋_GB2312" w:eastAsia="仿宋_GB2312" w:cs="仿宋_GB2312"/>
        </w:rPr>
        <w:t>受自然条件及气候变化影响，</w:t>
      </w:r>
      <w:bookmarkStart w:id="54" w:name="_Hlk113538610"/>
      <w:r>
        <w:rPr>
          <w:rFonts w:hint="eastAsia" w:ascii="仿宋_GB2312" w:hAnsi="仿宋_GB2312" w:eastAsia="仿宋_GB2312" w:cs="仿宋_GB2312"/>
        </w:rPr>
        <w:t>河湖生态退化风险不断增大</w:t>
      </w:r>
      <w:bookmarkEnd w:id="54"/>
      <w:r>
        <w:rPr>
          <w:rFonts w:hint="eastAsia" w:ascii="仿宋_GB2312" w:hAnsi="仿宋_GB2312" w:eastAsia="仿宋_GB2312" w:cs="仿宋_GB2312"/>
        </w:rPr>
        <w:t>，筑牢高原生态屏障压力</w:t>
      </w:r>
      <w:r>
        <w:rPr>
          <w:rFonts w:hint="eastAsia" w:ascii="仿宋_GB2312" w:hAnsi="仿宋_GB2312" w:eastAsia="仿宋_GB2312" w:cs="仿宋_GB2312"/>
          <w:lang w:eastAsia="zh-CN"/>
        </w:rPr>
        <w:t>与日俱增</w:t>
      </w:r>
      <w:r>
        <w:rPr>
          <w:rFonts w:hint="eastAsia" w:ascii="仿宋_GB2312" w:hAnsi="仿宋_GB2312" w:eastAsia="仿宋_GB2312" w:cs="仿宋_GB2312"/>
        </w:rPr>
        <w:t>。金沙江流域西藏段生态脆弱，受过度放牧和鼠害影响，许多地方的草地出现不同程度退化，部分地区甚至出现难以逆转的沙化。水土流失以冻融侵蚀为主，治理难度大，对人为水土流失缺乏有效监督管理。农村人口居住分散，沿河岸两侧农业、生活污染源分布广泛，部分河段还存在“四乱”问题，当前河道治理多为传统方式，生态保护考虑不足，易对农村水系生态环境造成不利影响。</w:t>
      </w:r>
      <w:r>
        <w:rPr>
          <w:rFonts w:hint="eastAsia" w:ascii="楷体_GB2312" w:hAnsi="楷体_GB2312" w:eastAsia="楷体_GB2312" w:cs="楷体_GB2312"/>
        </w:rPr>
        <w:t>四是行业能力依然薄弱，应对水利高质量发展能力有待提升。</w:t>
      </w:r>
      <w:r>
        <w:rPr>
          <w:rFonts w:hint="eastAsia" w:ascii="仿宋_GB2312" w:hAnsi="仿宋_GB2312" w:eastAsia="仿宋_GB2312" w:cs="仿宋_GB2312"/>
        </w:rPr>
        <w:t>面对新阶段水利高质量发展的新要求，亟需有效破解制约水利发展体制机制问题，大力推进重点领域关键环节改革，进一步推动水利信息化建设，增强水利管理能力</w:t>
      </w:r>
      <w:r>
        <w:rPr>
          <w:rFonts w:hint="eastAsia" w:ascii="仿宋_GB2312" w:hAnsi="仿宋_GB2312" w:eastAsia="仿宋_GB2312" w:cs="仿宋_GB2312"/>
          <w:lang w:val="en-US" w:eastAsia="zh-CN"/>
        </w:rPr>
        <w:t>方面还需加强</w:t>
      </w:r>
      <w:r>
        <w:rPr>
          <w:rFonts w:hint="eastAsia" w:ascii="仿宋_GB2312" w:hAnsi="仿宋_GB2312" w:eastAsia="仿宋_GB2312" w:cs="仿宋_GB2312"/>
        </w:rPr>
        <w:t>。</w:t>
      </w:r>
    </w:p>
    <w:p w14:paraId="4BF3F45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昌都水利改革发展在面临这些问题的同时，也具备诸多有利条件。</w:t>
      </w:r>
      <w:r>
        <w:rPr>
          <w:rFonts w:hint="eastAsia" w:ascii="楷体_GB2312" w:hAnsi="楷体_GB2312" w:eastAsia="楷体_GB2312" w:cs="楷体_GB2312"/>
        </w:rPr>
        <w:t>一是</w:t>
      </w:r>
      <w:r>
        <w:rPr>
          <w:rFonts w:hint="eastAsia" w:ascii="楷体_GB2312" w:hAnsi="楷体_GB2312" w:eastAsia="楷体_GB2312" w:cs="楷体_GB2312"/>
          <w:lang w:eastAsia="zh-CN"/>
        </w:rPr>
        <w:t>党中央、国务院</w:t>
      </w:r>
      <w:r>
        <w:rPr>
          <w:rFonts w:hint="eastAsia" w:ascii="楷体_GB2312" w:hAnsi="楷体_GB2312" w:eastAsia="楷体_GB2312" w:cs="楷体_GB2312"/>
        </w:rPr>
        <w:t>高度重视西藏工作为昌都水利发展提供了重要的政治保证。</w:t>
      </w:r>
      <w:r>
        <w:rPr>
          <w:rFonts w:hint="eastAsia" w:ascii="仿宋_GB2312" w:hAnsi="仿宋_GB2312" w:eastAsia="仿宋_GB2312" w:cs="仿宋_GB2312"/>
        </w:rPr>
        <w:t>党中央历来高度重视西藏工作，党的十八大以来，形成了新时代党的治藏方略。中央第七次西藏工作座谈会对推进西藏长治久安和高质量发展</w:t>
      </w:r>
      <w:r>
        <w:rPr>
          <w:rFonts w:hint="eastAsia" w:ascii="仿宋_GB2312" w:hAnsi="仿宋_GB2312" w:eastAsia="仿宋_GB2312" w:cs="仿宋_GB2312"/>
          <w:highlight w:val="none"/>
          <w:lang w:eastAsia="zh-CN"/>
        </w:rPr>
        <w:t>作出</w:t>
      </w:r>
      <w:r>
        <w:rPr>
          <w:rFonts w:hint="eastAsia" w:ascii="仿宋_GB2312" w:hAnsi="仿宋_GB2312" w:eastAsia="仿宋_GB2312" w:cs="仿宋_GB2312"/>
        </w:rPr>
        <w:t>全面部署。习近平总书记在视察西藏时强调，要抓好稳定、发展、生态、强边四件大事，要加快建设国家清洁能源基地。党中央、国务院一系列大政方针把加快西藏发展摆在了突出位置，为昌都水利发展提供了重要的政治保障。</w:t>
      </w:r>
      <w:r>
        <w:rPr>
          <w:rFonts w:hint="eastAsia" w:ascii="楷体_GB2312" w:hAnsi="楷体_GB2312" w:eastAsia="楷体_GB2312" w:cs="楷体_GB2312"/>
        </w:rPr>
        <w:t>二是习近平生态文明思想和新时期治水思路为昌都水利发展指明了方向。</w:t>
      </w:r>
      <w:r>
        <w:rPr>
          <w:rFonts w:hint="eastAsia" w:ascii="仿宋_GB2312" w:hAnsi="仿宋_GB2312" w:eastAsia="仿宋_GB2312" w:cs="仿宋_GB2312"/>
        </w:rPr>
        <w:t>党的十八大以来，习近平总书记明确提出</w:t>
      </w:r>
      <w:r>
        <w:rPr>
          <w:rFonts w:hint="eastAsia" w:ascii="仿宋_GB2312" w:hAnsi="仿宋_GB2312" w:eastAsia="仿宋_GB2312" w:cs="仿宋_GB2312"/>
          <w:lang w:eastAsia="zh-CN"/>
        </w:rPr>
        <w:t>“节水优先、空间均衡、系统治理、两手发力”</w:t>
      </w:r>
      <w:r>
        <w:rPr>
          <w:rFonts w:hint="eastAsia" w:ascii="仿宋_GB2312" w:hAnsi="仿宋_GB2312" w:eastAsia="仿宋_GB2312" w:cs="仿宋_GB2312"/>
        </w:rPr>
        <w:t>十六字治水思路，把水安全上升为国家战略。习近平总书记视察西藏时指出“坚持保护优先，坚持</w:t>
      </w:r>
      <w:r>
        <w:rPr>
          <w:rFonts w:hint="eastAsia" w:ascii="仿宋_GB2312" w:hAnsi="仿宋_GB2312" w:eastAsia="仿宋_GB2312" w:cs="仿宋_GB2312"/>
          <w:lang w:eastAsia="zh-CN"/>
        </w:rPr>
        <w:t>山水林田湖草沙一体化保护和系统治理</w:t>
      </w:r>
      <w:r>
        <w:rPr>
          <w:rFonts w:hint="eastAsia" w:ascii="仿宋_GB2312" w:hAnsi="仿宋_GB2312" w:eastAsia="仿宋_GB2312" w:cs="仿宋_GB2312"/>
        </w:rPr>
        <w:t>，加强重要江河流域生态环境保护和修复，统筹水资源合理开发利用和保护”，昌都水利发展进入高质量发展的新阶段。</w:t>
      </w:r>
      <w:r>
        <w:rPr>
          <w:rFonts w:hint="eastAsia" w:ascii="楷体_GB2312" w:hAnsi="楷体_GB2312" w:eastAsia="楷体_GB2312" w:cs="楷体_GB2312"/>
        </w:rPr>
        <w:t>三是良好的内外部环境为昌都水利改革发展提供了重要保障。</w:t>
      </w:r>
      <w:r>
        <w:rPr>
          <w:rFonts w:hint="eastAsia" w:ascii="仿宋_GB2312" w:hAnsi="仿宋_GB2312" w:eastAsia="仿宋_GB2312" w:cs="仿宋_GB2312"/>
        </w:rPr>
        <w:t>新时代推进西部大开发形成新格局、乡村振兴、生态文明建设等重大国家战略的实施为昌都水利改革发展提供了难得的机遇。当前昌都</w:t>
      </w:r>
      <w:r>
        <w:rPr>
          <w:rFonts w:hint="eastAsia" w:ascii="仿宋_GB2312" w:hAnsi="仿宋_GB2312" w:eastAsia="仿宋_GB2312" w:cs="仿宋_GB2312"/>
          <w:lang w:eastAsia="zh-CN"/>
        </w:rPr>
        <w:t>民族团结</w:t>
      </w:r>
      <w:r>
        <w:rPr>
          <w:rFonts w:hint="eastAsia" w:ascii="仿宋_GB2312" w:hAnsi="仿宋_GB2312" w:eastAsia="仿宋_GB2312" w:cs="仿宋_GB2312"/>
        </w:rPr>
        <w:t>和谐，社会持续稳定，为水利发展提供了良好的社会环境。多年的水利发展改革为昌都水利高质量发展奠定了</w:t>
      </w:r>
      <w:r>
        <w:rPr>
          <w:rFonts w:hint="eastAsia" w:ascii="仿宋_GB2312" w:hAnsi="仿宋_GB2312" w:eastAsia="仿宋_GB2312" w:cs="仿宋_GB2312"/>
          <w:lang w:eastAsia="zh-CN"/>
        </w:rPr>
        <w:t>坚实</w:t>
      </w:r>
      <w:r>
        <w:rPr>
          <w:rFonts w:hint="eastAsia" w:ascii="仿宋_GB2312" w:hAnsi="仿宋_GB2312" w:eastAsia="仿宋_GB2312" w:cs="仿宋_GB2312"/>
        </w:rPr>
        <w:t>基础。</w:t>
      </w:r>
    </w:p>
    <w:p w14:paraId="2EFA3AC2">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sectPr>
          <w:pgSz w:w="11906" w:h="16838"/>
          <w:pgMar w:top="2098" w:right="1474" w:bottom="1984" w:left="1531" w:header="851" w:footer="992" w:gutter="0"/>
          <w:pgNumType w:fmt="decimal"/>
          <w:cols w:space="425" w:num="1"/>
          <w:docGrid w:type="lines" w:linePitch="312" w:charSpace="0"/>
        </w:sectPr>
      </w:pPr>
    </w:p>
    <w:p w14:paraId="599A2332">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bookmarkStart w:id="55" w:name="_Toc114063682"/>
      <w:r>
        <w:rPr>
          <w:sz w:val="32"/>
          <w:szCs w:val="48"/>
        </w:rPr>
        <w:t>二、总体思路</w:t>
      </w:r>
      <w:bookmarkEnd w:id="55"/>
    </w:p>
    <w:p w14:paraId="540D016E">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56" w:name="_Toc114063683"/>
      <w:r>
        <w:rPr>
          <w:rFonts w:hint="eastAsia" w:ascii="楷体_GB2312" w:hAnsi="楷体_GB2312" w:eastAsia="楷体_GB2312" w:cs="楷体_GB2312"/>
          <w:b/>
          <w:bCs w:val="0"/>
          <w:sz w:val="32"/>
          <w:szCs w:val="36"/>
        </w:rPr>
        <w:t>（一）指导思想</w:t>
      </w:r>
      <w:bookmarkEnd w:id="56"/>
    </w:p>
    <w:p w14:paraId="2CE30CA4">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highlight w:val="red"/>
        </w:rPr>
      </w:pPr>
      <w:r>
        <w:rPr>
          <w:rFonts w:hint="eastAsia" w:ascii="仿宋_GB2312" w:hAnsi="仿宋_GB2312" w:eastAsia="仿宋_GB2312" w:cs="仿宋_GB2312"/>
          <w:highlight w:val="none"/>
          <w:lang w:val="en-US" w:eastAsia="zh-CN"/>
        </w:rPr>
        <w:t>坚持</w:t>
      </w:r>
      <w:r>
        <w:rPr>
          <w:rFonts w:hint="eastAsia" w:ascii="仿宋_GB2312" w:hAnsi="仿宋_GB2312" w:eastAsia="仿宋_GB2312" w:cs="仿宋_GB2312"/>
          <w:highlight w:val="none"/>
        </w:rPr>
        <w:t>以习近平新时代中国特色社会主义思想为指导，全面贯彻党的十九大和十九届</w:t>
      </w:r>
      <w:r>
        <w:rPr>
          <w:rFonts w:hint="eastAsia" w:ascii="仿宋_GB2312" w:hAnsi="仿宋_GB2312" w:eastAsia="仿宋_GB2312" w:cs="仿宋_GB2312"/>
          <w:highlight w:val="none"/>
          <w:lang w:val="en-US" w:eastAsia="zh-CN"/>
        </w:rPr>
        <w:t>历次</w:t>
      </w:r>
      <w:r>
        <w:rPr>
          <w:rFonts w:hint="eastAsia" w:ascii="仿宋_GB2312" w:hAnsi="仿宋_GB2312" w:eastAsia="仿宋_GB2312" w:cs="仿宋_GB2312"/>
          <w:highlight w:val="none"/>
        </w:rPr>
        <w:t>全会精神</w:t>
      </w:r>
      <w:r>
        <w:rPr>
          <w:rFonts w:hint="eastAsia" w:ascii="仿宋_GB2312" w:hAnsi="仿宋_GB2312" w:eastAsia="仿宋_GB2312" w:cs="仿宋_GB2312"/>
          <w:highlight w:val="none"/>
          <w:lang w:eastAsia="zh-CN"/>
        </w:rPr>
        <w:t>，以及党的二十大精神和</w:t>
      </w:r>
      <w:r>
        <w:rPr>
          <w:rFonts w:hint="eastAsia" w:ascii="仿宋_GB2312" w:hAnsi="仿宋_GB2312" w:eastAsia="仿宋_GB2312" w:cs="仿宋_GB2312"/>
          <w:highlight w:val="none"/>
        </w:rPr>
        <w:t>中央第七次西藏工作座谈会精神，全面贯彻习近平总书记关于西藏工作</w:t>
      </w:r>
      <w:r>
        <w:rPr>
          <w:rFonts w:hint="eastAsia" w:ascii="仿宋_GB2312" w:hAnsi="仿宋_GB2312" w:eastAsia="仿宋_GB2312" w:cs="仿宋_GB2312"/>
          <w:highlight w:val="none"/>
          <w:lang w:val="en-US" w:eastAsia="zh-CN"/>
        </w:rPr>
        <w:t>的</w:t>
      </w:r>
      <w:r>
        <w:rPr>
          <w:rFonts w:hint="eastAsia" w:ascii="仿宋_GB2312" w:hAnsi="仿宋_GB2312" w:eastAsia="仿宋_GB2312" w:cs="仿宋_GB2312"/>
          <w:highlight w:val="none"/>
        </w:rPr>
        <w:t>重要</w:t>
      </w:r>
      <w:r>
        <w:rPr>
          <w:rFonts w:hint="eastAsia" w:ascii="仿宋_GB2312" w:hAnsi="仿宋_GB2312" w:eastAsia="仿宋_GB2312" w:cs="仿宋_GB2312"/>
          <w:highlight w:val="none"/>
          <w:lang w:val="en-US" w:eastAsia="zh-CN"/>
        </w:rPr>
        <w:t>指示</w:t>
      </w:r>
      <w:r>
        <w:rPr>
          <w:rFonts w:hint="eastAsia" w:ascii="仿宋_GB2312" w:hAnsi="仿宋_GB2312" w:eastAsia="仿宋_GB2312" w:cs="仿宋_GB2312"/>
          <w:highlight w:val="none"/>
        </w:rPr>
        <w:t>和新时代党的治藏方略，完整准确全面贯彻新发展理念，积极践行“节水优先、空间均衡、系统治理、两手发力”的治水思路，</w:t>
      </w:r>
      <w:r>
        <w:rPr>
          <w:rFonts w:hint="eastAsia" w:ascii="仿宋_GB2312" w:hAnsi="仿宋_GB2312" w:eastAsia="仿宋_GB2312" w:cs="仿宋_GB2312"/>
          <w:highlight w:val="none"/>
          <w:lang w:val="en-US" w:eastAsia="zh-CN"/>
        </w:rPr>
        <w:t>锚定</w:t>
      </w:r>
      <w:r>
        <w:rPr>
          <w:rFonts w:hint="eastAsia" w:ascii="仿宋_GB2312" w:hAnsi="仿宋_GB2312" w:eastAsia="仿宋_GB2312" w:cs="仿宋_GB2312"/>
          <w:highlight w:val="none"/>
        </w:rPr>
        <w:t>“稳定、发展、生态、强边”四件大事，</w:t>
      </w:r>
      <w:r>
        <w:rPr>
          <w:rFonts w:hint="eastAsia" w:ascii="仿宋_GB2312" w:hAnsi="仿宋_GB2312" w:eastAsia="仿宋_GB2312" w:cs="仿宋_GB2312"/>
          <w:highlight w:val="none"/>
          <w:lang w:val="en-US" w:eastAsia="zh-CN"/>
        </w:rPr>
        <w:t>聚力“四个创建</w:t>
      </w:r>
      <w:r>
        <w:rPr>
          <w:rFonts w:hint="default" w:ascii="仿宋_GB2312" w:hAnsi="仿宋_GB2312" w:eastAsia="仿宋_GB2312" w:cs="仿宋_GB2312"/>
          <w:highlight w:val="none"/>
          <w:lang w:val="en-US" w:eastAsia="zh-CN"/>
        </w:rPr>
        <w:t>”</w:t>
      </w:r>
      <w:r>
        <w:rPr>
          <w:rFonts w:hint="eastAsia" w:ascii="仿宋_GB2312" w:hAnsi="仿宋_GB2312" w:eastAsia="仿宋_GB2312" w:cs="仿宋_GB2312"/>
          <w:highlight w:val="none"/>
          <w:lang w:val="en-US" w:eastAsia="zh-CN"/>
        </w:rPr>
        <w:t>，努力做到“四个走在前列”，</w:t>
      </w:r>
      <w:r>
        <w:rPr>
          <w:rFonts w:hint="eastAsia" w:ascii="仿宋_GB2312" w:hAnsi="仿宋_GB2312" w:eastAsia="仿宋_GB2312" w:cs="仿宋_GB2312"/>
          <w:highlight w:val="none"/>
        </w:rPr>
        <w:t>以推动水利高质量发展为主题，以提升水安全保障能力为目标，以水生态保护与修复为底线，加快建设水利基础设施网络，提高涉水事务监管水平，增强</w:t>
      </w:r>
      <w:r>
        <w:rPr>
          <w:rFonts w:hint="eastAsia" w:ascii="仿宋_GB2312" w:hAnsi="仿宋_GB2312" w:eastAsia="仿宋_GB2312" w:cs="仿宋_GB2312"/>
          <w:highlight w:val="none"/>
          <w:lang w:eastAsia="zh-CN"/>
        </w:rPr>
        <w:t>防灾减灾救灾能力</w:t>
      </w:r>
      <w:r>
        <w:rPr>
          <w:rFonts w:hint="eastAsia" w:ascii="仿宋_GB2312" w:hAnsi="仿宋_GB2312" w:eastAsia="仿宋_GB2312" w:cs="仿宋_GB2312"/>
          <w:highlight w:val="none"/>
        </w:rPr>
        <w:t>，维护高原湖泊生态健康，更好满足人民群众对日益增长的水安全、水资源、水生态、水环境需求，为</w:t>
      </w:r>
      <w:r>
        <w:rPr>
          <w:rFonts w:hint="eastAsia" w:ascii="仿宋_GB2312" w:hAnsi="仿宋_GB2312" w:eastAsia="仿宋_GB2312" w:cs="仿宋_GB2312"/>
          <w:highlight w:val="none"/>
          <w:lang w:val="en-US" w:eastAsia="zh-CN"/>
        </w:rPr>
        <w:t>建设</w:t>
      </w:r>
      <w:r>
        <w:rPr>
          <w:rFonts w:hint="eastAsia" w:ascii="仿宋_GB2312" w:hAnsi="仿宋_GB2312" w:eastAsia="仿宋_GB2312" w:cs="仿宋_GB2312"/>
          <w:highlight w:val="none"/>
        </w:rPr>
        <w:t>团结富裕文明和谐美丽的社会主义现代化新昌都提供有力的水安全保障。</w:t>
      </w:r>
    </w:p>
    <w:p w14:paraId="214A5953">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i w:val="0"/>
          <w:iCs w:val="0"/>
          <w:sz w:val="32"/>
          <w:szCs w:val="36"/>
        </w:rPr>
      </w:pPr>
      <w:bookmarkStart w:id="57" w:name="_Toc114063684"/>
      <w:r>
        <w:rPr>
          <w:rFonts w:hint="eastAsia" w:ascii="楷体_GB2312" w:hAnsi="楷体_GB2312" w:eastAsia="楷体_GB2312" w:cs="楷体_GB2312"/>
          <w:b/>
          <w:bCs w:val="0"/>
          <w:i w:val="0"/>
          <w:iCs w:val="0"/>
          <w:sz w:val="32"/>
          <w:szCs w:val="36"/>
        </w:rPr>
        <w:t>（二）基本原则</w:t>
      </w:r>
      <w:bookmarkEnd w:id="57"/>
    </w:p>
    <w:p w14:paraId="2ED7639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黑体" w:hAnsi="黑体" w:eastAsia="黑体" w:cs="黑体"/>
          <w:b w:val="0"/>
          <w:bCs w:val="0"/>
          <w:lang w:eastAsia="zh-CN"/>
        </w:rPr>
        <w:t>——</w:t>
      </w:r>
      <w:r>
        <w:rPr>
          <w:rFonts w:hint="eastAsia" w:ascii="仿宋_GB2312" w:hAnsi="仿宋_GB2312" w:eastAsia="仿宋_GB2312" w:cs="仿宋_GB2312"/>
          <w:b/>
          <w:bCs/>
        </w:rPr>
        <w:t>坚持节水优先、高效利用</w:t>
      </w:r>
      <w:r>
        <w:rPr>
          <w:rFonts w:hint="eastAsia" w:ascii="仿宋_GB2312" w:hAnsi="仿宋_GB2312" w:eastAsia="仿宋_GB2312" w:cs="仿宋_GB2312"/>
        </w:rPr>
        <w:t>。牢牢把握节约用水这一前提，把节约用水作为首要任务，把充分节水作为水资源开发、利用、保护、配置、调度的前提。以实行最严格水资源管理制度为核心，加快推进用水方式的根本性转变，严守用水效率控制红线，全面推进节水型社会建设。</w:t>
      </w:r>
    </w:p>
    <w:p w14:paraId="479C92A6">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黑体" w:hAnsi="黑体" w:eastAsia="黑体" w:cs="黑体"/>
          <w:b w:val="0"/>
          <w:bCs w:val="0"/>
          <w:lang w:eastAsia="zh-CN"/>
        </w:rPr>
        <w:t>——</w:t>
      </w:r>
      <w:r>
        <w:rPr>
          <w:rFonts w:hint="eastAsia" w:ascii="仿宋_GB2312" w:hAnsi="仿宋_GB2312" w:eastAsia="仿宋_GB2312" w:cs="仿宋_GB2312"/>
          <w:b/>
          <w:bCs/>
        </w:rPr>
        <w:t>坚持空间均衡、协调发展。</w:t>
      </w:r>
      <w:r>
        <w:rPr>
          <w:rFonts w:hint="eastAsia" w:ascii="仿宋_GB2312" w:hAnsi="仿宋_GB2312" w:eastAsia="仿宋_GB2312" w:cs="仿宋_GB2312"/>
        </w:rPr>
        <w:t>对水利在流域与区域、城市与农村、山区与平原、上游与下游、干流与支流、左岸与右岸的空间发展进行科学布局，正确把握当前与长远、需要与可能等重大关系，科学制定水利发展的时间表和路线图，着力提升水利在空间上、时间上、内容上的均衡与协调发展水平。</w:t>
      </w:r>
    </w:p>
    <w:p w14:paraId="3A2B116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黑体" w:hAnsi="黑体" w:eastAsia="黑体" w:cs="黑体"/>
          <w:b w:val="0"/>
          <w:bCs w:val="0"/>
          <w:lang w:eastAsia="zh-CN"/>
        </w:rPr>
        <w:t>——</w:t>
      </w:r>
      <w:r>
        <w:rPr>
          <w:rFonts w:hint="eastAsia" w:ascii="仿宋_GB2312" w:hAnsi="仿宋_GB2312" w:eastAsia="仿宋_GB2312" w:cs="仿宋_GB2312"/>
          <w:b/>
          <w:bCs/>
        </w:rPr>
        <w:t>坚持科学谋划、系统治理。</w:t>
      </w:r>
      <w:r>
        <w:rPr>
          <w:rFonts w:hint="eastAsia" w:ascii="仿宋_GB2312" w:hAnsi="仿宋_GB2312" w:eastAsia="仿宋_GB2312" w:cs="仿宋_GB2312"/>
        </w:rPr>
        <w:t>立足基本市情、水情以及水利发展面临的新形势、新要求，准确把握水利发展方向，科学谋划水利发展未来，统筹山水林田湖草</w:t>
      </w:r>
      <w:r>
        <w:rPr>
          <w:rFonts w:hint="eastAsia" w:ascii="仿宋_GB2312" w:hAnsi="仿宋_GB2312" w:eastAsia="仿宋_GB2312" w:cs="仿宋_GB2312"/>
          <w:lang w:val="en-US" w:eastAsia="zh-CN"/>
        </w:rPr>
        <w:t>沙冰</w:t>
      </w:r>
      <w:r>
        <w:rPr>
          <w:rFonts w:hint="eastAsia" w:ascii="仿宋_GB2312" w:hAnsi="仿宋_GB2312" w:eastAsia="仿宋_GB2312" w:cs="仿宋_GB2312"/>
        </w:rPr>
        <w:t>各要素，对水资源、水灾害、水生态、水管理等各领域的问题进行系统治理，加快完善现代基础设施网络，着力推进水利科学发展。</w:t>
      </w:r>
    </w:p>
    <w:p w14:paraId="117CB27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黑体" w:hAnsi="黑体" w:eastAsia="黑体" w:cs="黑体"/>
          <w:b w:val="0"/>
          <w:bCs w:val="0"/>
          <w:lang w:eastAsia="zh-CN"/>
        </w:rPr>
        <w:t>——</w:t>
      </w:r>
      <w:r>
        <w:rPr>
          <w:rFonts w:hint="eastAsia" w:ascii="仿宋_GB2312" w:hAnsi="仿宋_GB2312" w:eastAsia="仿宋_GB2312" w:cs="仿宋_GB2312"/>
          <w:b/>
          <w:bCs/>
        </w:rPr>
        <w:t>坚持生态友好、绿色发展。</w:t>
      </w:r>
      <w:r>
        <w:rPr>
          <w:rFonts w:hint="eastAsia" w:ascii="仿宋_GB2312" w:hAnsi="仿宋_GB2312" w:eastAsia="仿宋_GB2312" w:cs="仿宋_GB2312"/>
        </w:rPr>
        <w:t>坚持人与自然和谐共生，尊重自然、顺应自然、保护自然，把生态优先理念贯穿水利改革发展全过程，坚持以水定需、量水而行、因水制宜，科学调配水资源，保护和改善水生态水环境，推动经济社会发展与水资源水环境承载能力相协调，形成绿色发展方式。</w:t>
      </w:r>
    </w:p>
    <w:p w14:paraId="29D08DA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黑体" w:hAnsi="黑体" w:eastAsia="黑体" w:cs="黑体"/>
          <w:b w:val="0"/>
          <w:bCs w:val="0"/>
          <w:lang w:eastAsia="zh-CN"/>
        </w:rPr>
        <w:t>——</w:t>
      </w:r>
      <w:r>
        <w:rPr>
          <w:rFonts w:hint="eastAsia" w:ascii="仿宋_GB2312" w:hAnsi="仿宋_GB2312" w:eastAsia="仿宋_GB2312" w:cs="仿宋_GB2312"/>
          <w:b/>
          <w:bCs/>
        </w:rPr>
        <w:t>坚持两手发力、强化监管。</w:t>
      </w:r>
      <w:r>
        <w:rPr>
          <w:rFonts w:hint="eastAsia" w:ascii="仿宋_GB2312" w:hAnsi="仿宋_GB2312" w:eastAsia="仿宋_GB2312" w:cs="仿宋_GB2312"/>
        </w:rPr>
        <w:t>进一步解放思想，勇于创新，坚持政府与市场两手发力，着力推进水利重要领域和关键环节的改革攻坚，引导全社会积极支持和参与水利建设与管理，全方位强化河湖、水资源、水工程、资金、政务等方面水利行业的监管。</w:t>
      </w:r>
    </w:p>
    <w:p w14:paraId="426BAAC6">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58" w:name="_Toc114063685"/>
      <w:r>
        <w:rPr>
          <w:rFonts w:hint="eastAsia" w:ascii="楷体_GB2312" w:hAnsi="楷体_GB2312" w:eastAsia="楷体_GB2312" w:cs="楷体_GB2312"/>
          <w:b/>
          <w:bCs w:val="0"/>
          <w:sz w:val="32"/>
          <w:szCs w:val="36"/>
        </w:rPr>
        <w:t>（三）发展目标</w:t>
      </w:r>
      <w:bookmarkEnd w:id="58"/>
    </w:p>
    <w:p w14:paraId="6DCD6EE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到2025年，全市水安全保障能力显著提升</w:t>
      </w:r>
      <w:r>
        <w:rPr>
          <w:rFonts w:hint="eastAsia" w:ascii="仿宋_GB2312" w:hAnsi="仿宋_GB2312" w:eastAsia="仿宋_GB2312" w:cs="仿宋_GB2312"/>
          <w:lang w:eastAsia="zh-CN"/>
        </w:rPr>
        <w:t>，</w:t>
      </w:r>
      <w:r>
        <w:rPr>
          <w:rFonts w:hint="eastAsia" w:ascii="仿宋_GB2312" w:hAnsi="仿宋_GB2312" w:eastAsia="仿宋_GB2312" w:cs="仿宋_GB2312"/>
        </w:rPr>
        <w:t>水资源配置格局逐步完善，水资源利用效率和效益明显提高，防洪减灾能力进一步增强，</w:t>
      </w:r>
      <w:bookmarkStart w:id="59" w:name="_Hlk89701095"/>
      <w:r>
        <w:rPr>
          <w:rFonts w:hint="eastAsia" w:ascii="仿宋_GB2312" w:hAnsi="仿宋_GB2312" w:eastAsia="仿宋_GB2312" w:cs="仿宋_GB2312"/>
        </w:rPr>
        <w:t>水生态环境保护能力得到显著增强，</w:t>
      </w:r>
      <w:bookmarkEnd w:id="59"/>
      <w:r>
        <w:rPr>
          <w:rFonts w:hint="eastAsia" w:ascii="仿宋_GB2312" w:hAnsi="仿宋_GB2312" w:eastAsia="仿宋_GB2312" w:cs="仿宋_GB2312"/>
        </w:rPr>
        <w:t>水利信息化水平得到提高，水利改革取得一定进展，水利治理能力和水平得到提高，具体发展目标如下：</w:t>
      </w:r>
    </w:p>
    <w:p w14:paraId="44C4FB9D">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1</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水资源节约集约利用</w:t>
      </w:r>
      <w:r>
        <w:rPr>
          <w:rFonts w:hint="eastAsia" w:ascii="仿宋_GB2312" w:hAnsi="仿宋_GB2312" w:eastAsia="仿宋_GB2312" w:cs="仿宋_GB2312"/>
        </w:rPr>
        <w:t>。到2025年，水资源配置格局逐步完善，水资源利用效率和效益明显提高。用水总量控制在5.25亿</w:t>
      </w:r>
      <w:r>
        <w:rPr>
          <w:rFonts w:hint="eastAsia" w:ascii="仿宋_GB2312" w:hAnsi="仿宋_GB2312" w:eastAsia="仿宋_GB2312" w:cs="仿宋_GB2312"/>
          <w:lang w:eastAsia="zh-CN"/>
        </w:rPr>
        <w:t>立方米</w:t>
      </w:r>
      <w:r>
        <w:rPr>
          <w:rFonts w:hint="eastAsia" w:ascii="仿宋_GB2312" w:hAnsi="仿宋_GB2312" w:eastAsia="仿宋_GB2312" w:cs="仿宋_GB2312"/>
        </w:rPr>
        <w:t>以内，万元GDP用水量较2020年降低15%，万元工业增加值用水量较2020年降低25%，</w:t>
      </w:r>
      <w:bookmarkStart w:id="60" w:name="_Hlk89765681"/>
      <w:r>
        <w:rPr>
          <w:rFonts w:hint="eastAsia" w:ascii="仿宋_GB2312" w:hAnsi="仿宋_GB2312" w:eastAsia="仿宋_GB2312" w:cs="仿宋_GB2312"/>
        </w:rPr>
        <w:t>农田灌溉水有效利用系数</w:t>
      </w:r>
      <w:bookmarkEnd w:id="60"/>
      <w:r>
        <w:rPr>
          <w:rFonts w:hint="eastAsia" w:ascii="仿宋_GB2312" w:hAnsi="仿宋_GB2312" w:eastAsia="仿宋_GB2312" w:cs="仿宋_GB2312"/>
        </w:rPr>
        <w:t>提高到0.45以上，新增（改善）农田有效灌溉面积5.99万亩，新增（改善）饲草料地和草场灌溉面积1.24万亩。</w:t>
      </w:r>
    </w:p>
    <w:p w14:paraId="4C20F198">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2</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防洪减灾目标</w:t>
      </w:r>
      <w:r>
        <w:rPr>
          <w:rFonts w:hint="eastAsia" w:ascii="仿宋_GB2312" w:hAnsi="仿宋_GB2312" w:eastAsia="仿宋_GB2312" w:cs="仿宋_GB2312"/>
        </w:rPr>
        <w:t>。到2025年，全市防洪减灾能力进一步增强。江达、边坝、贡觉、洛隆等县城防洪能力得到提升，中小河流防洪薄弱环节得到进一步治理，治理河长311</w:t>
      </w:r>
      <w:r>
        <w:rPr>
          <w:rFonts w:hint="eastAsia" w:ascii="仿宋_GB2312" w:hAnsi="仿宋_GB2312" w:eastAsia="仿宋_GB2312" w:cs="仿宋_GB2312"/>
          <w:lang w:eastAsia="zh-CN"/>
        </w:rPr>
        <w:t>公里</w:t>
      </w:r>
      <w:r>
        <w:rPr>
          <w:rFonts w:hint="eastAsia" w:ascii="仿宋_GB2312" w:hAnsi="仿宋_GB2312" w:eastAsia="仿宋_GB2312" w:cs="仿宋_GB2312"/>
        </w:rPr>
        <w:t>，进一步完善非工程措施与工程措施相结合的山洪灾害综合防御体系，及时消除水库水闸安全隐患，洪水风险管理能力进一步增强。</w:t>
      </w:r>
    </w:p>
    <w:p w14:paraId="7EDE4905">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3</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水生态保护与修复目标</w:t>
      </w:r>
      <w:r>
        <w:rPr>
          <w:rFonts w:hint="eastAsia" w:ascii="仿宋_GB2312" w:hAnsi="仿宋_GB2312" w:eastAsia="仿宋_GB2312" w:cs="仿宋_GB2312"/>
        </w:rPr>
        <w:t>。到2025年，全市水生态环境保护能力得到显著增强。重点河湖水生态环境得到有效保护与修复，新增水土流失治理面积220</w:t>
      </w:r>
      <w:r>
        <w:rPr>
          <w:rFonts w:hint="eastAsia" w:ascii="仿宋_GB2312" w:hAnsi="仿宋_GB2312" w:eastAsia="仿宋_GB2312" w:cs="仿宋_GB2312"/>
          <w:lang w:eastAsia="zh-CN"/>
        </w:rPr>
        <w:t>平方公里</w:t>
      </w:r>
      <w:r>
        <w:rPr>
          <w:rFonts w:hint="eastAsia" w:ascii="仿宋_GB2312" w:hAnsi="仿宋_GB2312" w:eastAsia="仿宋_GB2312" w:cs="仿宋_GB2312"/>
        </w:rPr>
        <w:t>，水美乡村建设取得积极进展。</w:t>
      </w:r>
    </w:p>
    <w:p w14:paraId="76FB2806">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4</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水利信息化建设目标</w:t>
      </w:r>
      <w:r>
        <w:rPr>
          <w:rFonts w:hint="eastAsia" w:ascii="仿宋_GB2312" w:hAnsi="仿宋_GB2312" w:eastAsia="仿宋_GB2312" w:cs="仿宋_GB2312"/>
        </w:rPr>
        <w:t>。到2025年，水利信息化水平得到提高，水利感知网与信息网不断完善，水利各领域的业务应用系统逐步建立。</w:t>
      </w:r>
    </w:p>
    <w:p w14:paraId="01E2FA4E">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5</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水利</w:t>
      </w:r>
      <w:r>
        <w:rPr>
          <w:rFonts w:hint="eastAsia" w:ascii="仿宋_GB2312" w:hAnsi="仿宋_GB2312" w:eastAsia="仿宋_GB2312" w:cs="仿宋_GB2312"/>
          <w:b/>
          <w:bCs/>
          <w:lang w:eastAsia="zh-CN"/>
        </w:rPr>
        <w:t>管理</w:t>
      </w:r>
      <w:r>
        <w:rPr>
          <w:rFonts w:hint="eastAsia" w:ascii="仿宋_GB2312" w:hAnsi="仿宋_GB2312" w:eastAsia="仿宋_GB2312" w:cs="仿宋_GB2312"/>
          <w:b/>
          <w:bCs/>
        </w:rPr>
        <w:t>改革创新目标</w:t>
      </w:r>
      <w:r>
        <w:rPr>
          <w:rFonts w:hint="eastAsia" w:ascii="仿宋_GB2312" w:hAnsi="仿宋_GB2312" w:eastAsia="仿宋_GB2312" w:cs="仿宋_GB2312"/>
        </w:rPr>
        <w:t>。到2025年，水利管理能力进一步提高，重要领域和关键环节水利改革取得一定进展。水价改革稳步推进，水利投融资体制机制进一步创新。依法治水管水水平不断提高，涉水事务监管力度显著增强，人才队伍进一步完善。</w:t>
      </w:r>
    </w:p>
    <w:p w14:paraId="1FCE6F7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“十四五”水安全保障规划主要指标见表2-1。</w:t>
      </w:r>
    </w:p>
    <w:p w14:paraId="072AE5A7">
      <w:pPr>
        <w:pStyle w:val="38"/>
        <w:spacing w:after="156" w:afterLines="50"/>
        <w:ind w:firstLine="1800" w:firstLineChars="750"/>
        <w:rPr>
          <w:rFonts w:cs="Times New Roman"/>
        </w:rPr>
      </w:pPr>
      <w:r>
        <w:rPr>
          <w:rFonts w:hint="eastAsia" w:ascii="黑体" w:hAnsi="黑体" w:eastAsia="黑体" w:cs="黑体"/>
        </w:rPr>
        <w:t>表2-1  “十四五”水安全保障规划主要指标</w:t>
      </w:r>
    </w:p>
    <w:tbl>
      <w:tblPr>
        <w:tblStyle w:val="20"/>
        <w:tblW w:w="9118" w:type="dxa"/>
        <w:tblInd w:w="0" w:type="dxa"/>
        <w:tblLayout w:type="fixed"/>
        <w:tblCellMar>
          <w:top w:w="0" w:type="dxa"/>
          <w:left w:w="108" w:type="dxa"/>
          <w:bottom w:w="0" w:type="dxa"/>
          <w:right w:w="108" w:type="dxa"/>
        </w:tblCellMar>
      </w:tblPr>
      <w:tblGrid>
        <w:gridCol w:w="2315"/>
        <w:gridCol w:w="3979"/>
        <w:gridCol w:w="1665"/>
        <w:gridCol w:w="1159"/>
      </w:tblGrid>
      <w:tr w14:paraId="57EB684B">
        <w:tblPrEx>
          <w:tblCellMar>
            <w:top w:w="0" w:type="dxa"/>
            <w:left w:w="108" w:type="dxa"/>
            <w:bottom w:w="0" w:type="dxa"/>
            <w:right w:w="108" w:type="dxa"/>
          </w:tblCellMar>
        </w:tblPrEx>
        <w:trPr>
          <w:trHeight w:val="363" w:hRule="atLeast"/>
          <w:tblHeader/>
        </w:trPr>
        <w:tc>
          <w:tcPr>
            <w:tcW w:w="2315" w:type="dxa"/>
            <w:tcBorders>
              <w:top w:val="single" w:color="auto" w:sz="4" w:space="0"/>
              <w:left w:val="single" w:color="auto" w:sz="4" w:space="0"/>
              <w:bottom w:val="single" w:color="auto" w:sz="4" w:space="0"/>
              <w:right w:val="single" w:color="auto" w:sz="4" w:space="0"/>
            </w:tcBorders>
            <w:shd w:val="clear" w:color="auto" w:fill="auto"/>
            <w:vAlign w:val="center"/>
          </w:tcPr>
          <w:p w14:paraId="6BDFFD5E">
            <w:pPr>
              <w:widowControl/>
              <w:adjustRightInd w:val="0"/>
              <w:snapToGrid w:val="0"/>
              <w:jc w:val="center"/>
              <w:rPr>
                <w:rFonts w:hint="eastAsia" w:ascii="仿宋_GB2312" w:hAnsi="仿宋_GB2312" w:eastAsia="仿宋_GB2312" w:cs="仿宋_GB2312"/>
                <w:b/>
                <w:bCs/>
                <w:color w:val="000000"/>
                <w:kern w:val="0"/>
                <w:sz w:val="22"/>
              </w:rPr>
            </w:pPr>
            <w:r>
              <w:rPr>
                <w:rFonts w:hint="eastAsia" w:ascii="仿宋_GB2312" w:hAnsi="仿宋_GB2312" w:eastAsia="仿宋_GB2312" w:cs="仿宋_GB2312"/>
                <w:b/>
                <w:bCs/>
                <w:color w:val="000000"/>
                <w:kern w:val="0"/>
                <w:sz w:val="22"/>
              </w:rPr>
              <w:t>分类</w:t>
            </w:r>
          </w:p>
        </w:tc>
        <w:tc>
          <w:tcPr>
            <w:tcW w:w="3979" w:type="dxa"/>
            <w:tcBorders>
              <w:top w:val="single" w:color="auto" w:sz="4" w:space="0"/>
              <w:left w:val="nil"/>
              <w:bottom w:val="single" w:color="auto" w:sz="4" w:space="0"/>
              <w:right w:val="single" w:color="auto" w:sz="4" w:space="0"/>
            </w:tcBorders>
            <w:shd w:val="clear" w:color="auto" w:fill="auto"/>
            <w:vAlign w:val="center"/>
          </w:tcPr>
          <w:p w14:paraId="7C113B6E">
            <w:pPr>
              <w:widowControl/>
              <w:adjustRightInd w:val="0"/>
              <w:snapToGrid w:val="0"/>
              <w:jc w:val="center"/>
              <w:rPr>
                <w:rFonts w:hint="eastAsia" w:ascii="仿宋_GB2312" w:hAnsi="仿宋_GB2312" w:eastAsia="仿宋_GB2312" w:cs="仿宋_GB2312"/>
                <w:b/>
                <w:bCs/>
                <w:color w:val="000000"/>
                <w:kern w:val="0"/>
                <w:sz w:val="22"/>
              </w:rPr>
            </w:pPr>
            <w:r>
              <w:rPr>
                <w:rFonts w:hint="eastAsia" w:ascii="仿宋_GB2312" w:hAnsi="仿宋_GB2312" w:eastAsia="仿宋_GB2312" w:cs="仿宋_GB2312"/>
                <w:b/>
                <w:bCs/>
                <w:color w:val="000000"/>
                <w:kern w:val="0"/>
                <w:sz w:val="22"/>
              </w:rPr>
              <w:t>指标</w:t>
            </w:r>
          </w:p>
        </w:tc>
        <w:tc>
          <w:tcPr>
            <w:tcW w:w="1665" w:type="dxa"/>
            <w:tcBorders>
              <w:top w:val="single" w:color="auto" w:sz="4" w:space="0"/>
              <w:left w:val="nil"/>
              <w:bottom w:val="single" w:color="auto" w:sz="4" w:space="0"/>
              <w:right w:val="single" w:color="auto" w:sz="4" w:space="0"/>
            </w:tcBorders>
            <w:shd w:val="clear" w:color="auto" w:fill="auto"/>
            <w:vAlign w:val="center"/>
          </w:tcPr>
          <w:p w14:paraId="4B0FF561">
            <w:pPr>
              <w:widowControl/>
              <w:adjustRightInd w:val="0"/>
              <w:snapToGrid w:val="0"/>
              <w:jc w:val="center"/>
              <w:rPr>
                <w:rFonts w:hint="eastAsia" w:ascii="仿宋_GB2312" w:hAnsi="仿宋_GB2312" w:eastAsia="仿宋_GB2312" w:cs="仿宋_GB2312"/>
                <w:b/>
                <w:bCs/>
                <w:color w:val="000000"/>
                <w:kern w:val="0"/>
                <w:sz w:val="22"/>
              </w:rPr>
            </w:pPr>
            <w:r>
              <w:rPr>
                <w:rFonts w:hint="eastAsia" w:ascii="仿宋_GB2312" w:hAnsi="仿宋_GB2312" w:eastAsia="仿宋_GB2312" w:cs="仿宋_GB2312"/>
                <w:b/>
                <w:bCs/>
                <w:color w:val="000000"/>
                <w:kern w:val="0"/>
                <w:sz w:val="22"/>
              </w:rPr>
              <w:t>十四五</w:t>
            </w:r>
          </w:p>
          <w:p w14:paraId="1AE51DAE">
            <w:pPr>
              <w:widowControl/>
              <w:adjustRightInd w:val="0"/>
              <w:snapToGrid w:val="0"/>
              <w:jc w:val="center"/>
              <w:rPr>
                <w:rFonts w:hint="eastAsia" w:ascii="仿宋_GB2312" w:hAnsi="仿宋_GB2312" w:eastAsia="仿宋_GB2312" w:cs="仿宋_GB2312"/>
                <w:b/>
                <w:bCs/>
                <w:color w:val="000000"/>
                <w:kern w:val="0"/>
                <w:sz w:val="22"/>
              </w:rPr>
            </w:pPr>
            <w:r>
              <w:rPr>
                <w:rFonts w:hint="eastAsia" w:ascii="仿宋_GB2312" w:hAnsi="仿宋_GB2312" w:eastAsia="仿宋_GB2312" w:cs="仿宋_GB2312"/>
                <w:b/>
                <w:bCs/>
                <w:color w:val="000000"/>
                <w:kern w:val="0"/>
                <w:sz w:val="22"/>
              </w:rPr>
              <w:t>规划目标</w:t>
            </w:r>
          </w:p>
        </w:tc>
        <w:tc>
          <w:tcPr>
            <w:tcW w:w="1159" w:type="dxa"/>
            <w:tcBorders>
              <w:top w:val="single" w:color="auto" w:sz="4" w:space="0"/>
              <w:left w:val="nil"/>
              <w:bottom w:val="single" w:color="auto" w:sz="4" w:space="0"/>
              <w:right w:val="single" w:color="auto" w:sz="4" w:space="0"/>
            </w:tcBorders>
            <w:shd w:val="clear" w:color="auto" w:fill="auto"/>
            <w:vAlign w:val="center"/>
          </w:tcPr>
          <w:p w14:paraId="31AA8679">
            <w:pPr>
              <w:widowControl/>
              <w:adjustRightInd w:val="0"/>
              <w:snapToGrid w:val="0"/>
              <w:jc w:val="center"/>
              <w:rPr>
                <w:rFonts w:hint="eastAsia" w:ascii="仿宋_GB2312" w:hAnsi="仿宋_GB2312" w:eastAsia="仿宋_GB2312" w:cs="仿宋_GB2312"/>
                <w:b/>
                <w:bCs/>
                <w:color w:val="000000"/>
                <w:kern w:val="0"/>
                <w:sz w:val="22"/>
              </w:rPr>
            </w:pPr>
            <w:r>
              <w:rPr>
                <w:rFonts w:hint="eastAsia" w:ascii="仿宋_GB2312" w:hAnsi="仿宋_GB2312" w:eastAsia="仿宋_GB2312" w:cs="仿宋_GB2312"/>
                <w:b/>
                <w:bCs/>
                <w:color w:val="000000"/>
                <w:kern w:val="0"/>
                <w:sz w:val="22"/>
              </w:rPr>
              <w:t>备注</w:t>
            </w:r>
          </w:p>
        </w:tc>
      </w:tr>
      <w:tr w14:paraId="49EB76B0">
        <w:tblPrEx>
          <w:tblCellMar>
            <w:top w:w="0" w:type="dxa"/>
            <w:left w:w="108" w:type="dxa"/>
            <w:bottom w:w="0" w:type="dxa"/>
            <w:right w:w="108" w:type="dxa"/>
          </w:tblCellMar>
        </w:tblPrEx>
        <w:trPr>
          <w:trHeight w:val="363" w:hRule="atLeast"/>
        </w:trPr>
        <w:tc>
          <w:tcPr>
            <w:tcW w:w="2315" w:type="dxa"/>
            <w:vMerge w:val="restart"/>
            <w:tcBorders>
              <w:top w:val="nil"/>
              <w:left w:val="single" w:color="auto" w:sz="4" w:space="0"/>
              <w:bottom w:val="single" w:color="auto" w:sz="4" w:space="0"/>
              <w:right w:val="single" w:color="auto" w:sz="4" w:space="0"/>
            </w:tcBorders>
            <w:shd w:val="clear" w:color="auto" w:fill="auto"/>
            <w:vAlign w:val="center"/>
          </w:tcPr>
          <w:p w14:paraId="3C850918">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节水目标</w:t>
            </w:r>
          </w:p>
        </w:tc>
        <w:tc>
          <w:tcPr>
            <w:tcW w:w="3979" w:type="dxa"/>
            <w:tcBorders>
              <w:top w:val="nil"/>
              <w:left w:val="nil"/>
              <w:bottom w:val="single" w:color="auto" w:sz="4" w:space="0"/>
              <w:right w:val="single" w:color="auto" w:sz="4" w:space="0"/>
            </w:tcBorders>
            <w:shd w:val="clear" w:color="auto" w:fill="auto"/>
            <w:vAlign w:val="center"/>
          </w:tcPr>
          <w:p w14:paraId="3F19620C">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用水总量控制（亿</w:t>
            </w:r>
            <w:r>
              <w:rPr>
                <w:rFonts w:hint="eastAsia" w:ascii="仿宋_GB2312" w:hAnsi="仿宋_GB2312" w:eastAsia="仿宋_GB2312" w:cs="仿宋_GB2312"/>
                <w:color w:val="000000"/>
                <w:kern w:val="0"/>
                <w:sz w:val="22"/>
                <w:lang w:eastAsia="zh-CN"/>
              </w:rPr>
              <w:t>立方米</w:t>
            </w:r>
            <w:r>
              <w:rPr>
                <w:rFonts w:hint="eastAsia" w:ascii="仿宋_GB2312" w:hAnsi="仿宋_GB2312" w:eastAsia="仿宋_GB2312" w:cs="仿宋_GB2312"/>
                <w:color w:val="000000"/>
                <w:kern w:val="0"/>
                <w:sz w:val="22"/>
              </w:rPr>
              <w:t>）</w:t>
            </w:r>
          </w:p>
        </w:tc>
        <w:tc>
          <w:tcPr>
            <w:tcW w:w="1665" w:type="dxa"/>
            <w:tcBorders>
              <w:top w:val="nil"/>
              <w:left w:val="nil"/>
              <w:bottom w:val="single" w:color="auto" w:sz="4" w:space="0"/>
              <w:right w:val="single" w:color="auto" w:sz="4" w:space="0"/>
            </w:tcBorders>
            <w:shd w:val="clear" w:color="000000" w:fill="FFFFFF"/>
            <w:vAlign w:val="center"/>
          </w:tcPr>
          <w:p w14:paraId="0867D42E">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5.25</w:t>
            </w:r>
          </w:p>
        </w:tc>
        <w:tc>
          <w:tcPr>
            <w:tcW w:w="1159" w:type="dxa"/>
            <w:tcBorders>
              <w:top w:val="nil"/>
              <w:left w:val="nil"/>
              <w:bottom w:val="single" w:color="auto" w:sz="4" w:space="0"/>
              <w:right w:val="single" w:color="auto" w:sz="4" w:space="0"/>
            </w:tcBorders>
            <w:shd w:val="clear" w:color="auto" w:fill="auto"/>
            <w:vAlign w:val="center"/>
          </w:tcPr>
          <w:p w14:paraId="5D823C2C">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约束性</w:t>
            </w:r>
          </w:p>
        </w:tc>
      </w:tr>
      <w:tr w14:paraId="0D5E21E1">
        <w:tblPrEx>
          <w:tblCellMar>
            <w:top w:w="0" w:type="dxa"/>
            <w:left w:w="108" w:type="dxa"/>
            <w:bottom w:w="0" w:type="dxa"/>
            <w:right w:w="108" w:type="dxa"/>
          </w:tblCellMar>
        </w:tblPrEx>
        <w:trPr>
          <w:trHeight w:val="363" w:hRule="atLeast"/>
        </w:trPr>
        <w:tc>
          <w:tcPr>
            <w:tcW w:w="2315" w:type="dxa"/>
            <w:vMerge w:val="continue"/>
            <w:tcBorders>
              <w:top w:val="nil"/>
              <w:left w:val="single" w:color="auto" w:sz="4" w:space="0"/>
              <w:bottom w:val="single" w:color="auto" w:sz="4" w:space="0"/>
              <w:right w:val="single" w:color="auto" w:sz="4" w:space="0"/>
            </w:tcBorders>
            <w:vAlign w:val="center"/>
          </w:tcPr>
          <w:p w14:paraId="31E4E0C1">
            <w:pPr>
              <w:widowControl/>
              <w:adjustRightInd w:val="0"/>
              <w:snapToGrid w:val="0"/>
              <w:jc w:val="center"/>
              <w:rPr>
                <w:rFonts w:hint="eastAsia" w:ascii="仿宋_GB2312" w:hAnsi="仿宋_GB2312" w:eastAsia="仿宋_GB2312" w:cs="仿宋_GB2312"/>
                <w:color w:val="000000"/>
                <w:kern w:val="0"/>
                <w:sz w:val="22"/>
              </w:rPr>
            </w:pPr>
          </w:p>
        </w:tc>
        <w:tc>
          <w:tcPr>
            <w:tcW w:w="3979" w:type="dxa"/>
            <w:tcBorders>
              <w:top w:val="nil"/>
              <w:left w:val="nil"/>
              <w:bottom w:val="single" w:color="auto" w:sz="4" w:space="0"/>
              <w:right w:val="single" w:color="auto" w:sz="4" w:space="0"/>
            </w:tcBorders>
            <w:shd w:val="clear" w:color="auto" w:fill="auto"/>
            <w:vAlign w:val="center"/>
          </w:tcPr>
          <w:p w14:paraId="0A1F34F6">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万元GDP用水量下降（%）</w:t>
            </w:r>
          </w:p>
        </w:tc>
        <w:tc>
          <w:tcPr>
            <w:tcW w:w="1665" w:type="dxa"/>
            <w:tcBorders>
              <w:top w:val="nil"/>
              <w:left w:val="nil"/>
              <w:bottom w:val="single" w:color="auto" w:sz="4" w:space="0"/>
              <w:right w:val="single" w:color="auto" w:sz="4" w:space="0"/>
            </w:tcBorders>
            <w:shd w:val="clear" w:color="auto" w:fill="auto"/>
            <w:vAlign w:val="center"/>
          </w:tcPr>
          <w:p w14:paraId="42822C32">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[15]</w:t>
            </w:r>
          </w:p>
        </w:tc>
        <w:tc>
          <w:tcPr>
            <w:tcW w:w="1159" w:type="dxa"/>
            <w:tcBorders>
              <w:top w:val="nil"/>
              <w:left w:val="nil"/>
              <w:bottom w:val="single" w:color="auto" w:sz="4" w:space="0"/>
              <w:right w:val="single" w:color="auto" w:sz="4" w:space="0"/>
            </w:tcBorders>
            <w:shd w:val="clear" w:color="auto" w:fill="auto"/>
            <w:vAlign w:val="center"/>
          </w:tcPr>
          <w:p w14:paraId="445C9627">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预期性</w:t>
            </w:r>
          </w:p>
        </w:tc>
      </w:tr>
      <w:tr w14:paraId="7C81D4A5">
        <w:tblPrEx>
          <w:tblCellMar>
            <w:top w:w="0" w:type="dxa"/>
            <w:left w:w="108" w:type="dxa"/>
            <w:bottom w:w="0" w:type="dxa"/>
            <w:right w:w="108" w:type="dxa"/>
          </w:tblCellMar>
        </w:tblPrEx>
        <w:trPr>
          <w:trHeight w:val="363" w:hRule="atLeast"/>
        </w:trPr>
        <w:tc>
          <w:tcPr>
            <w:tcW w:w="2315" w:type="dxa"/>
            <w:vMerge w:val="continue"/>
            <w:tcBorders>
              <w:top w:val="nil"/>
              <w:left w:val="single" w:color="auto" w:sz="4" w:space="0"/>
              <w:bottom w:val="single" w:color="auto" w:sz="4" w:space="0"/>
              <w:right w:val="single" w:color="auto" w:sz="4" w:space="0"/>
            </w:tcBorders>
            <w:vAlign w:val="center"/>
          </w:tcPr>
          <w:p w14:paraId="618FD78C">
            <w:pPr>
              <w:widowControl/>
              <w:adjustRightInd w:val="0"/>
              <w:snapToGrid w:val="0"/>
              <w:jc w:val="center"/>
              <w:rPr>
                <w:rFonts w:hint="eastAsia" w:ascii="仿宋_GB2312" w:hAnsi="仿宋_GB2312" w:eastAsia="仿宋_GB2312" w:cs="仿宋_GB2312"/>
                <w:color w:val="000000"/>
                <w:kern w:val="0"/>
                <w:sz w:val="22"/>
              </w:rPr>
            </w:pPr>
          </w:p>
        </w:tc>
        <w:tc>
          <w:tcPr>
            <w:tcW w:w="3979" w:type="dxa"/>
            <w:tcBorders>
              <w:top w:val="nil"/>
              <w:left w:val="nil"/>
              <w:bottom w:val="single" w:color="auto" w:sz="4" w:space="0"/>
              <w:right w:val="single" w:color="auto" w:sz="4" w:space="0"/>
            </w:tcBorders>
            <w:shd w:val="clear" w:color="auto" w:fill="auto"/>
            <w:vAlign w:val="center"/>
          </w:tcPr>
          <w:p w14:paraId="4274C841">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万元工业增加值用水量下降率（%）</w:t>
            </w:r>
          </w:p>
        </w:tc>
        <w:tc>
          <w:tcPr>
            <w:tcW w:w="1665" w:type="dxa"/>
            <w:tcBorders>
              <w:top w:val="nil"/>
              <w:left w:val="nil"/>
              <w:bottom w:val="single" w:color="auto" w:sz="4" w:space="0"/>
              <w:right w:val="single" w:color="auto" w:sz="4" w:space="0"/>
            </w:tcBorders>
            <w:shd w:val="clear" w:color="auto" w:fill="auto"/>
            <w:vAlign w:val="center"/>
          </w:tcPr>
          <w:p w14:paraId="3092A85B">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[25]</w:t>
            </w:r>
          </w:p>
        </w:tc>
        <w:tc>
          <w:tcPr>
            <w:tcW w:w="1159" w:type="dxa"/>
            <w:tcBorders>
              <w:top w:val="nil"/>
              <w:left w:val="nil"/>
              <w:bottom w:val="single" w:color="auto" w:sz="4" w:space="0"/>
              <w:right w:val="single" w:color="auto" w:sz="4" w:space="0"/>
            </w:tcBorders>
            <w:shd w:val="clear" w:color="auto" w:fill="auto"/>
            <w:vAlign w:val="center"/>
          </w:tcPr>
          <w:p w14:paraId="2FF31A3A">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预期性</w:t>
            </w:r>
          </w:p>
        </w:tc>
      </w:tr>
      <w:tr w14:paraId="70FC7D49">
        <w:tblPrEx>
          <w:tblCellMar>
            <w:top w:w="0" w:type="dxa"/>
            <w:left w:w="108" w:type="dxa"/>
            <w:bottom w:w="0" w:type="dxa"/>
            <w:right w:w="108" w:type="dxa"/>
          </w:tblCellMar>
        </w:tblPrEx>
        <w:trPr>
          <w:trHeight w:val="453" w:hRule="atLeast"/>
        </w:trPr>
        <w:tc>
          <w:tcPr>
            <w:tcW w:w="2315" w:type="dxa"/>
            <w:vMerge w:val="continue"/>
            <w:tcBorders>
              <w:top w:val="nil"/>
              <w:left w:val="single" w:color="auto" w:sz="4" w:space="0"/>
              <w:bottom w:val="single" w:color="auto" w:sz="4" w:space="0"/>
              <w:right w:val="single" w:color="auto" w:sz="4" w:space="0"/>
            </w:tcBorders>
            <w:vAlign w:val="center"/>
          </w:tcPr>
          <w:p w14:paraId="644DBABF">
            <w:pPr>
              <w:widowControl/>
              <w:adjustRightInd w:val="0"/>
              <w:snapToGrid w:val="0"/>
              <w:jc w:val="center"/>
              <w:rPr>
                <w:rFonts w:hint="eastAsia" w:ascii="仿宋_GB2312" w:hAnsi="仿宋_GB2312" w:eastAsia="仿宋_GB2312" w:cs="仿宋_GB2312"/>
                <w:color w:val="000000"/>
                <w:kern w:val="0"/>
                <w:sz w:val="22"/>
              </w:rPr>
            </w:pPr>
          </w:p>
        </w:tc>
        <w:tc>
          <w:tcPr>
            <w:tcW w:w="3979" w:type="dxa"/>
            <w:tcBorders>
              <w:top w:val="nil"/>
              <w:left w:val="nil"/>
              <w:bottom w:val="single" w:color="auto" w:sz="4" w:space="0"/>
              <w:right w:val="single" w:color="auto" w:sz="4" w:space="0"/>
            </w:tcBorders>
            <w:shd w:val="clear" w:color="auto" w:fill="auto"/>
            <w:vAlign w:val="center"/>
          </w:tcPr>
          <w:p w14:paraId="589FE990">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农田灌溉水有效利用系数</w:t>
            </w:r>
          </w:p>
        </w:tc>
        <w:tc>
          <w:tcPr>
            <w:tcW w:w="1665" w:type="dxa"/>
            <w:tcBorders>
              <w:top w:val="nil"/>
              <w:left w:val="nil"/>
              <w:bottom w:val="single" w:color="auto" w:sz="4" w:space="0"/>
              <w:right w:val="single" w:color="auto" w:sz="4" w:space="0"/>
            </w:tcBorders>
            <w:shd w:val="clear" w:color="auto" w:fill="auto"/>
            <w:vAlign w:val="center"/>
          </w:tcPr>
          <w:p w14:paraId="15ABD64F">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lang w:eastAsia="zh-CN"/>
              </w:rPr>
              <w:t>[</w:t>
            </w:r>
            <w:r>
              <w:rPr>
                <w:rFonts w:hint="eastAsia" w:ascii="仿宋_GB2312" w:hAnsi="仿宋_GB2312" w:eastAsia="仿宋_GB2312" w:cs="仿宋_GB2312"/>
                <w:color w:val="000000"/>
                <w:kern w:val="0"/>
                <w:sz w:val="22"/>
              </w:rPr>
              <w:t>0.45]</w:t>
            </w:r>
          </w:p>
        </w:tc>
        <w:tc>
          <w:tcPr>
            <w:tcW w:w="1159" w:type="dxa"/>
            <w:tcBorders>
              <w:top w:val="nil"/>
              <w:left w:val="nil"/>
              <w:bottom w:val="single" w:color="auto" w:sz="4" w:space="0"/>
              <w:right w:val="single" w:color="auto" w:sz="4" w:space="0"/>
            </w:tcBorders>
            <w:shd w:val="clear" w:color="auto" w:fill="auto"/>
            <w:vAlign w:val="center"/>
          </w:tcPr>
          <w:p w14:paraId="2A6143AD">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预期性</w:t>
            </w:r>
          </w:p>
        </w:tc>
      </w:tr>
      <w:tr w14:paraId="35577E75">
        <w:tblPrEx>
          <w:tblCellMar>
            <w:top w:w="0" w:type="dxa"/>
            <w:left w:w="108" w:type="dxa"/>
            <w:bottom w:w="0" w:type="dxa"/>
            <w:right w:w="108" w:type="dxa"/>
          </w:tblCellMar>
        </w:tblPrEx>
        <w:trPr>
          <w:trHeight w:val="363" w:hRule="atLeast"/>
        </w:trPr>
        <w:tc>
          <w:tcPr>
            <w:tcW w:w="2315" w:type="dxa"/>
            <w:vMerge w:val="continue"/>
            <w:tcBorders>
              <w:top w:val="nil"/>
              <w:left w:val="single" w:color="auto" w:sz="4" w:space="0"/>
              <w:bottom w:val="single" w:color="auto" w:sz="4" w:space="0"/>
              <w:right w:val="single" w:color="auto" w:sz="4" w:space="0"/>
            </w:tcBorders>
            <w:vAlign w:val="center"/>
          </w:tcPr>
          <w:p w14:paraId="0BC84D1B">
            <w:pPr>
              <w:widowControl/>
              <w:adjustRightInd w:val="0"/>
              <w:snapToGrid w:val="0"/>
              <w:jc w:val="center"/>
              <w:rPr>
                <w:rFonts w:hint="eastAsia" w:ascii="仿宋_GB2312" w:hAnsi="仿宋_GB2312" w:eastAsia="仿宋_GB2312" w:cs="仿宋_GB2312"/>
                <w:color w:val="000000"/>
                <w:kern w:val="0"/>
                <w:sz w:val="22"/>
              </w:rPr>
            </w:pPr>
          </w:p>
        </w:tc>
        <w:tc>
          <w:tcPr>
            <w:tcW w:w="3979" w:type="dxa"/>
            <w:tcBorders>
              <w:top w:val="nil"/>
              <w:left w:val="nil"/>
              <w:bottom w:val="single" w:color="auto" w:sz="4" w:space="0"/>
              <w:right w:val="single" w:color="auto" w:sz="4" w:space="0"/>
            </w:tcBorders>
            <w:shd w:val="clear" w:color="auto" w:fill="auto"/>
            <w:vAlign w:val="center"/>
          </w:tcPr>
          <w:p w14:paraId="1FD163C7">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新增（改善</w:t>
            </w:r>
            <w:r>
              <w:rPr>
                <w:rFonts w:hint="eastAsia" w:ascii="仿宋_GB2312" w:hAnsi="仿宋_GB2312" w:eastAsia="仿宋_GB2312" w:cs="仿宋_GB2312"/>
                <w:color w:val="000000"/>
                <w:kern w:val="0"/>
                <w:sz w:val="22"/>
                <w:lang w:eastAsia="zh-CN"/>
              </w:rPr>
              <w:t>）</w:t>
            </w:r>
            <w:r>
              <w:rPr>
                <w:rFonts w:hint="eastAsia" w:ascii="仿宋_GB2312" w:hAnsi="仿宋_GB2312" w:eastAsia="仿宋_GB2312" w:cs="仿宋_GB2312"/>
                <w:color w:val="000000"/>
                <w:kern w:val="0"/>
                <w:sz w:val="22"/>
              </w:rPr>
              <w:t>农田有效灌溉面积</w:t>
            </w:r>
          </w:p>
          <w:p w14:paraId="76572F25">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（万亩）</w:t>
            </w:r>
          </w:p>
        </w:tc>
        <w:tc>
          <w:tcPr>
            <w:tcW w:w="1665" w:type="dxa"/>
            <w:tcBorders>
              <w:top w:val="nil"/>
              <w:left w:val="nil"/>
              <w:bottom w:val="single" w:color="auto" w:sz="4" w:space="0"/>
              <w:right w:val="single" w:color="auto" w:sz="4" w:space="0"/>
            </w:tcBorders>
            <w:shd w:val="clear" w:color="auto" w:fill="auto"/>
            <w:vAlign w:val="center"/>
          </w:tcPr>
          <w:p w14:paraId="62A4B922">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5.99</w:t>
            </w:r>
          </w:p>
        </w:tc>
        <w:tc>
          <w:tcPr>
            <w:tcW w:w="1159" w:type="dxa"/>
            <w:tcBorders>
              <w:top w:val="nil"/>
              <w:left w:val="nil"/>
              <w:bottom w:val="single" w:color="auto" w:sz="4" w:space="0"/>
              <w:right w:val="single" w:color="auto" w:sz="4" w:space="0"/>
            </w:tcBorders>
            <w:shd w:val="clear" w:color="auto" w:fill="auto"/>
            <w:vAlign w:val="center"/>
          </w:tcPr>
          <w:p w14:paraId="4609CB58">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预期性</w:t>
            </w:r>
          </w:p>
        </w:tc>
      </w:tr>
      <w:tr w14:paraId="02043949">
        <w:tblPrEx>
          <w:tblCellMar>
            <w:top w:w="0" w:type="dxa"/>
            <w:left w:w="108" w:type="dxa"/>
            <w:bottom w:w="0" w:type="dxa"/>
            <w:right w:w="108" w:type="dxa"/>
          </w:tblCellMar>
        </w:tblPrEx>
        <w:trPr>
          <w:trHeight w:val="363" w:hRule="atLeast"/>
        </w:trPr>
        <w:tc>
          <w:tcPr>
            <w:tcW w:w="2315" w:type="dxa"/>
            <w:vMerge w:val="continue"/>
            <w:tcBorders>
              <w:top w:val="nil"/>
              <w:left w:val="single" w:color="auto" w:sz="4" w:space="0"/>
              <w:bottom w:val="single" w:color="auto" w:sz="4" w:space="0"/>
              <w:right w:val="single" w:color="auto" w:sz="4" w:space="0"/>
            </w:tcBorders>
            <w:vAlign w:val="center"/>
          </w:tcPr>
          <w:p w14:paraId="074454FE">
            <w:pPr>
              <w:widowControl/>
              <w:adjustRightInd w:val="0"/>
              <w:snapToGrid w:val="0"/>
              <w:jc w:val="center"/>
              <w:rPr>
                <w:rFonts w:hint="eastAsia" w:ascii="仿宋_GB2312" w:hAnsi="仿宋_GB2312" w:eastAsia="仿宋_GB2312" w:cs="仿宋_GB2312"/>
                <w:color w:val="000000"/>
                <w:kern w:val="0"/>
                <w:sz w:val="22"/>
              </w:rPr>
            </w:pPr>
          </w:p>
        </w:tc>
        <w:tc>
          <w:tcPr>
            <w:tcW w:w="3979" w:type="dxa"/>
            <w:tcBorders>
              <w:top w:val="nil"/>
              <w:left w:val="nil"/>
              <w:bottom w:val="single" w:color="auto" w:sz="4" w:space="0"/>
              <w:right w:val="single" w:color="auto" w:sz="4" w:space="0"/>
            </w:tcBorders>
            <w:shd w:val="clear" w:color="auto" w:fill="auto"/>
            <w:vAlign w:val="center"/>
          </w:tcPr>
          <w:p w14:paraId="64497707">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新增草场灌溉面积（万亩）</w:t>
            </w:r>
          </w:p>
        </w:tc>
        <w:tc>
          <w:tcPr>
            <w:tcW w:w="1665" w:type="dxa"/>
            <w:tcBorders>
              <w:top w:val="nil"/>
              <w:left w:val="nil"/>
              <w:bottom w:val="single" w:color="auto" w:sz="4" w:space="0"/>
              <w:right w:val="single" w:color="auto" w:sz="4" w:space="0"/>
            </w:tcBorders>
            <w:shd w:val="clear" w:color="auto" w:fill="auto"/>
            <w:vAlign w:val="center"/>
          </w:tcPr>
          <w:p w14:paraId="75415B84">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1.24</w:t>
            </w:r>
          </w:p>
        </w:tc>
        <w:tc>
          <w:tcPr>
            <w:tcW w:w="1159" w:type="dxa"/>
            <w:tcBorders>
              <w:top w:val="nil"/>
              <w:left w:val="nil"/>
              <w:bottom w:val="single" w:color="auto" w:sz="4" w:space="0"/>
              <w:right w:val="single" w:color="auto" w:sz="4" w:space="0"/>
            </w:tcBorders>
            <w:shd w:val="clear" w:color="auto" w:fill="auto"/>
            <w:vAlign w:val="center"/>
          </w:tcPr>
          <w:p w14:paraId="5C40B63E">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预期性</w:t>
            </w:r>
          </w:p>
        </w:tc>
      </w:tr>
      <w:tr w14:paraId="0F48EC69">
        <w:tblPrEx>
          <w:tblCellMar>
            <w:top w:w="0" w:type="dxa"/>
            <w:left w:w="108" w:type="dxa"/>
            <w:bottom w:w="0" w:type="dxa"/>
            <w:right w:w="108" w:type="dxa"/>
          </w:tblCellMar>
        </w:tblPrEx>
        <w:trPr>
          <w:trHeight w:val="363" w:hRule="atLeast"/>
        </w:trPr>
        <w:tc>
          <w:tcPr>
            <w:tcW w:w="2315" w:type="dxa"/>
            <w:tcBorders>
              <w:top w:val="single" w:color="auto" w:sz="4" w:space="0"/>
              <w:left w:val="single" w:color="auto" w:sz="4" w:space="0"/>
              <w:bottom w:val="single" w:color="auto" w:sz="4" w:space="0"/>
              <w:right w:val="single" w:color="auto" w:sz="4" w:space="0"/>
            </w:tcBorders>
            <w:shd w:val="clear" w:color="auto" w:fill="auto"/>
            <w:vAlign w:val="center"/>
          </w:tcPr>
          <w:p w14:paraId="1BB901D9">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防洪抗旱减灾目标</w:t>
            </w:r>
          </w:p>
        </w:tc>
        <w:tc>
          <w:tcPr>
            <w:tcW w:w="3979" w:type="dxa"/>
            <w:tcBorders>
              <w:top w:val="single" w:color="auto" w:sz="4" w:space="0"/>
              <w:left w:val="nil"/>
              <w:bottom w:val="single" w:color="auto" w:sz="4" w:space="0"/>
              <w:right w:val="single" w:color="auto" w:sz="4" w:space="0"/>
            </w:tcBorders>
            <w:shd w:val="clear" w:color="auto" w:fill="auto"/>
            <w:vAlign w:val="center"/>
          </w:tcPr>
          <w:p w14:paraId="53E4BDF4">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河道治理长度（</w:t>
            </w:r>
            <w:r>
              <w:rPr>
                <w:rFonts w:hint="eastAsia" w:ascii="仿宋_GB2312" w:hAnsi="仿宋_GB2312" w:eastAsia="仿宋_GB2312" w:cs="仿宋_GB2312"/>
                <w:color w:val="000000"/>
                <w:kern w:val="0"/>
                <w:sz w:val="22"/>
                <w:lang w:eastAsia="zh-CN"/>
              </w:rPr>
              <w:t>公里</w:t>
            </w:r>
            <w:r>
              <w:rPr>
                <w:rFonts w:hint="eastAsia" w:ascii="仿宋_GB2312" w:hAnsi="仿宋_GB2312" w:eastAsia="仿宋_GB2312" w:cs="仿宋_GB2312"/>
                <w:color w:val="000000"/>
                <w:kern w:val="0"/>
                <w:sz w:val="22"/>
              </w:rPr>
              <w:t>）</w:t>
            </w:r>
          </w:p>
        </w:tc>
        <w:tc>
          <w:tcPr>
            <w:tcW w:w="1665" w:type="dxa"/>
            <w:tcBorders>
              <w:top w:val="single" w:color="auto" w:sz="4" w:space="0"/>
              <w:left w:val="nil"/>
              <w:bottom w:val="single" w:color="auto" w:sz="4" w:space="0"/>
              <w:right w:val="single" w:color="auto" w:sz="4" w:space="0"/>
            </w:tcBorders>
            <w:shd w:val="clear" w:color="auto" w:fill="auto"/>
            <w:vAlign w:val="center"/>
          </w:tcPr>
          <w:p w14:paraId="10FAC637">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311</w:t>
            </w:r>
          </w:p>
        </w:tc>
        <w:tc>
          <w:tcPr>
            <w:tcW w:w="1159" w:type="dxa"/>
            <w:tcBorders>
              <w:top w:val="single" w:color="auto" w:sz="4" w:space="0"/>
              <w:left w:val="nil"/>
              <w:bottom w:val="single" w:color="auto" w:sz="4" w:space="0"/>
              <w:right w:val="single" w:color="auto" w:sz="4" w:space="0"/>
            </w:tcBorders>
            <w:shd w:val="clear" w:color="auto" w:fill="auto"/>
            <w:vAlign w:val="center"/>
          </w:tcPr>
          <w:p w14:paraId="46321A69">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预期性</w:t>
            </w:r>
          </w:p>
        </w:tc>
      </w:tr>
      <w:tr w14:paraId="7A5D7E31">
        <w:tblPrEx>
          <w:tblCellMar>
            <w:top w:w="0" w:type="dxa"/>
            <w:left w:w="108" w:type="dxa"/>
            <w:bottom w:w="0" w:type="dxa"/>
            <w:right w:w="108" w:type="dxa"/>
          </w:tblCellMar>
        </w:tblPrEx>
        <w:trPr>
          <w:trHeight w:val="363" w:hRule="atLeast"/>
        </w:trPr>
        <w:tc>
          <w:tcPr>
            <w:tcW w:w="2315" w:type="dxa"/>
            <w:tcBorders>
              <w:top w:val="single" w:color="auto" w:sz="4" w:space="0"/>
              <w:left w:val="single" w:color="auto" w:sz="4" w:space="0"/>
              <w:bottom w:val="single" w:color="auto" w:sz="4" w:space="0"/>
              <w:right w:val="single" w:color="auto" w:sz="4" w:space="0"/>
            </w:tcBorders>
            <w:shd w:val="clear" w:color="auto" w:fill="auto"/>
            <w:vAlign w:val="center"/>
          </w:tcPr>
          <w:p w14:paraId="4464D038">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水生态水环境保护与修复目标</w:t>
            </w:r>
          </w:p>
        </w:tc>
        <w:tc>
          <w:tcPr>
            <w:tcW w:w="3979" w:type="dxa"/>
            <w:tcBorders>
              <w:top w:val="single" w:color="auto" w:sz="4" w:space="0"/>
              <w:left w:val="nil"/>
              <w:bottom w:val="single" w:color="auto" w:sz="4" w:space="0"/>
              <w:right w:val="single" w:color="auto" w:sz="4" w:space="0"/>
            </w:tcBorders>
            <w:shd w:val="clear" w:color="auto" w:fill="auto"/>
            <w:vAlign w:val="center"/>
          </w:tcPr>
          <w:p w14:paraId="7141AA5F">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新增水土流失治理面积</w:t>
            </w:r>
          </w:p>
          <w:p w14:paraId="7BA00B7C">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（平方公里）</w:t>
            </w:r>
          </w:p>
        </w:tc>
        <w:tc>
          <w:tcPr>
            <w:tcW w:w="1665" w:type="dxa"/>
            <w:tcBorders>
              <w:top w:val="single" w:color="auto" w:sz="4" w:space="0"/>
              <w:left w:val="nil"/>
              <w:bottom w:val="single" w:color="auto" w:sz="4" w:space="0"/>
              <w:right w:val="single" w:color="auto" w:sz="4" w:space="0"/>
            </w:tcBorders>
            <w:shd w:val="clear" w:color="auto" w:fill="auto"/>
            <w:vAlign w:val="center"/>
          </w:tcPr>
          <w:p w14:paraId="71ED858A">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220</w:t>
            </w:r>
          </w:p>
        </w:tc>
        <w:tc>
          <w:tcPr>
            <w:tcW w:w="1159" w:type="dxa"/>
            <w:tcBorders>
              <w:top w:val="single" w:color="auto" w:sz="4" w:space="0"/>
              <w:left w:val="nil"/>
              <w:bottom w:val="single" w:color="auto" w:sz="4" w:space="0"/>
              <w:right w:val="single" w:color="auto" w:sz="4" w:space="0"/>
            </w:tcBorders>
            <w:shd w:val="clear" w:color="auto" w:fill="auto"/>
            <w:vAlign w:val="center"/>
          </w:tcPr>
          <w:p w14:paraId="378E1F60">
            <w:pPr>
              <w:widowControl/>
              <w:adjustRightInd w:val="0"/>
              <w:snapToGrid w:val="0"/>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预期性</w:t>
            </w:r>
          </w:p>
        </w:tc>
      </w:tr>
    </w:tbl>
    <w:p w14:paraId="4B324F24">
      <w:pPr>
        <w:pStyle w:val="27"/>
        <w:ind w:firstLine="400"/>
        <w:rPr>
          <w:rFonts w:eastAsia="宋体" w:cs="Times New Roman"/>
          <w:sz w:val="20"/>
          <w:szCs w:val="20"/>
        </w:rPr>
      </w:pPr>
      <w:r>
        <w:rPr>
          <w:rFonts w:eastAsia="宋体" w:cs="Times New Roman"/>
          <w:sz w:val="20"/>
          <w:szCs w:val="20"/>
        </w:rPr>
        <w:t>注：1.带[ ]为期末达到数，其余为五年累计数；</w:t>
      </w:r>
    </w:p>
    <w:p w14:paraId="17547A6E">
      <w:pPr>
        <w:pStyle w:val="27"/>
        <w:ind w:firstLine="400"/>
        <w:rPr>
          <w:rFonts w:eastAsia="宋体" w:cs="Times New Roman"/>
          <w:sz w:val="20"/>
          <w:szCs w:val="20"/>
        </w:rPr>
      </w:pPr>
      <w:r>
        <w:rPr>
          <w:rFonts w:hint="eastAsia" w:eastAsia="宋体" w:cs="Times New Roman"/>
          <w:sz w:val="20"/>
          <w:szCs w:val="20"/>
          <w:lang w:val="en-US" w:eastAsia="zh-CN"/>
        </w:rPr>
        <w:t xml:space="preserve">    </w:t>
      </w:r>
      <w:r>
        <w:rPr>
          <w:rFonts w:eastAsia="宋体" w:cs="Times New Roman"/>
          <w:sz w:val="20"/>
          <w:szCs w:val="20"/>
        </w:rPr>
        <w:t>2.</w:t>
      </w:r>
      <w:r>
        <w:rPr>
          <w:rFonts w:cs="Times New Roman"/>
        </w:rPr>
        <w:t xml:space="preserve"> </w:t>
      </w:r>
      <w:r>
        <w:rPr>
          <w:rFonts w:eastAsia="宋体" w:cs="Times New Roman"/>
          <w:sz w:val="20"/>
          <w:szCs w:val="20"/>
        </w:rPr>
        <w:t>用水总量控制、万元GDP用水量下降率、万元工业增加值用水量下降率、农田灌溉水利用系数等指标为暂定指标，最终以自治区批准下达目标为准。</w:t>
      </w:r>
    </w:p>
    <w:p w14:paraId="653E575F">
      <w:pPr>
        <w:pStyle w:val="27"/>
        <w:rPr>
          <w:rFonts w:cs="Times New Roman"/>
        </w:rPr>
      </w:pPr>
    </w:p>
    <w:p w14:paraId="35ED4C6A">
      <w:pPr>
        <w:pStyle w:val="27"/>
        <w:rPr>
          <w:rFonts w:cs="Times New Roman"/>
        </w:rPr>
        <w:sectPr>
          <w:pgSz w:w="11906" w:h="16838"/>
          <w:pgMar w:top="2098" w:right="1474" w:bottom="1984" w:left="1531" w:header="851" w:footer="992" w:gutter="0"/>
          <w:pgNumType w:fmt="decimal"/>
          <w:cols w:space="425" w:num="1"/>
          <w:docGrid w:type="lines" w:linePitch="312" w:charSpace="0"/>
        </w:sectPr>
      </w:pPr>
    </w:p>
    <w:p w14:paraId="3D71A066">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bookmarkStart w:id="61" w:name="_Toc114063686"/>
      <w:r>
        <w:rPr>
          <w:sz w:val="32"/>
          <w:szCs w:val="48"/>
        </w:rPr>
        <w:t>三、完善流域防洪工程体系，提升水旱灾害防御能力</w:t>
      </w:r>
      <w:bookmarkEnd w:id="61"/>
    </w:p>
    <w:p w14:paraId="625E3CE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照“消隐患、强弱项”的思路，贯彻“两个坚持、三个转变”的防灾减灾新理念，以加强防洪薄弱环节建设为重点，强化风险防控，加大河流治理力度，继续推进山洪灾害防治，提升城市防洪能力，消除病险水库水闸安全隐患，着力完善防洪工程体系，提升全市洪水灾害防御能力，保障人民群众生命财产安全。</w:t>
      </w:r>
    </w:p>
    <w:p w14:paraId="22A4CC0F">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62" w:name="_Toc78187453"/>
      <w:bookmarkStart w:id="63" w:name="_Toc78187602"/>
      <w:bookmarkStart w:id="64" w:name="_Toc114063687"/>
      <w:r>
        <w:rPr>
          <w:rFonts w:hint="eastAsia" w:ascii="楷体_GB2312" w:hAnsi="楷体_GB2312" w:eastAsia="楷体_GB2312" w:cs="楷体_GB2312"/>
          <w:b/>
          <w:bCs w:val="0"/>
          <w:sz w:val="32"/>
          <w:szCs w:val="36"/>
        </w:rPr>
        <w:t>（一）加强</w:t>
      </w:r>
      <w:bookmarkEnd w:id="62"/>
      <w:bookmarkEnd w:id="63"/>
      <w:r>
        <w:rPr>
          <w:rFonts w:hint="eastAsia" w:ascii="楷体_GB2312" w:hAnsi="楷体_GB2312" w:eastAsia="楷体_GB2312" w:cs="楷体_GB2312"/>
          <w:b/>
          <w:bCs w:val="0"/>
          <w:sz w:val="32"/>
          <w:szCs w:val="36"/>
        </w:rPr>
        <w:t>江河治理</w:t>
      </w:r>
      <w:bookmarkEnd w:id="64"/>
    </w:p>
    <w:p w14:paraId="7DA79019">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以沿河有县级以上城市、重要城镇和人口较为集中的农村居民点、集中连片基本农田以及近年来因洪水造成冲毁、发生过较大洪涝灾害的河流（河段）为重点，以河道清障、清淤疏浚、堤防加固加高、生态护岸为主要措施，加大重要河流治理力度，全面提升防洪保安能力。坚持因地制宜、分类施策，对受洪水威胁严重的城镇、村庄和农田周边河道以修建堤防工程为主；对河岸冲刷、坍塌为主的河段以修建护岸工程为主，对河道淤积严重水位抬升影响行洪的河段以河道疏浚为主。“十四五”期间，推进昂曲、伟曲、盖曲</w:t>
      </w:r>
      <w:r>
        <w:rPr>
          <w:rFonts w:hint="eastAsia" w:ascii="仿宋_GB2312" w:hAnsi="仿宋_GB2312" w:eastAsia="仿宋_GB2312" w:cs="仿宋_GB2312"/>
          <w:lang w:eastAsia="zh-CN"/>
        </w:rPr>
        <w:t>、</w:t>
      </w:r>
      <w:r>
        <w:rPr>
          <w:rFonts w:hint="eastAsia" w:ascii="仿宋_GB2312" w:hAnsi="仿宋_GB2312" w:eastAsia="仿宋_GB2312" w:cs="仿宋_GB2312"/>
        </w:rPr>
        <w:t>藏曲、通天河等3000</w:t>
      </w:r>
      <w:r>
        <w:rPr>
          <w:rFonts w:hint="eastAsia" w:ascii="仿宋_GB2312" w:hAnsi="仿宋_GB2312" w:eastAsia="仿宋_GB2312" w:cs="仿宋_GB2312"/>
          <w:lang w:eastAsia="zh-CN"/>
        </w:rPr>
        <w:t>平方公里</w:t>
      </w:r>
      <w:r>
        <w:rPr>
          <w:rFonts w:hint="eastAsia" w:ascii="仿宋_GB2312" w:hAnsi="仿宋_GB2312" w:eastAsia="仿宋_GB2312" w:cs="仿宋_GB2312"/>
        </w:rPr>
        <w:t>以上河流重点河段防洪达标治理，治理长度47</w:t>
      </w:r>
      <w:r>
        <w:rPr>
          <w:rFonts w:hint="eastAsia" w:ascii="仿宋_GB2312" w:hAnsi="仿宋_GB2312" w:eastAsia="仿宋_GB2312" w:cs="仿宋_GB2312"/>
          <w:lang w:eastAsia="zh-CN"/>
        </w:rPr>
        <w:t>公里</w:t>
      </w:r>
      <w:r>
        <w:rPr>
          <w:rFonts w:hint="eastAsia" w:ascii="仿宋_GB2312" w:hAnsi="仿宋_GB2312" w:eastAsia="仿宋_GB2312" w:cs="仿宋_GB2312"/>
        </w:rPr>
        <w:t>；实施24个200</w:t>
      </w:r>
      <w:r>
        <w:rPr>
          <w:rFonts w:hint="eastAsia" w:ascii="仿宋_GB2312" w:hAnsi="仿宋_GB2312" w:eastAsia="仿宋_GB2312" w:cs="仿宋_GB2312"/>
          <w:lang w:val="en-US" w:eastAsia="zh-CN"/>
        </w:rPr>
        <w:t>-</w:t>
      </w:r>
      <w:r>
        <w:rPr>
          <w:rFonts w:hint="eastAsia" w:ascii="仿宋_GB2312" w:hAnsi="仿宋_GB2312" w:eastAsia="仿宋_GB2312" w:cs="仿宋_GB2312"/>
        </w:rPr>
        <w:t>3000</w:t>
      </w:r>
      <w:r>
        <w:rPr>
          <w:rFonts w:hint="eastAsia" w:ascii="仿宋_GB2312" w:hAnsi="仿宋_GB2312" w:eastAsia="仿宋_GB2312" w:cs="仿宋_GB2312"/>
          <w:lang w:eastAsia="zh-CN"/>
        </w:rPr>
        <w:t>平方公里</w:t>
      </w:r>
      <w:r>
        <w:rPr>
          <w:rFonts w:hint="eastAsia" w:ascii="仿宋_GB2312" w:hAnsi="仿宋_GB2312" w:eastAsia="仿宋_GB2312" w:cs="仿宋_GB2312"/>
        </w:rPr>
        <w:t>中小河流治理工程，河道治理长度264</w:t>
      </w:r>
      <w:r>
        <w:rPr>
          <w:rFonts w:hint="eastAsia" w:ascii="仿宋_GB2312" w:hAnsi="仿宋_GB2312" w:eastAsia="仿宋_GB2312" w:cs="仿宋_GB2312"/>
          <w:lang w:eastAsia="zh-CN"/>
        </w:rPr>
        <w:t>公里</w:t>
      </w:r>
      <w:r>
        <w:rPr>
          <w:rFonts w:hint="eastAsia" w:ascii="仿宋_GB2312" w:hAnsi="仿宋_GB2312" w:eastAsia="仿宋_GB2312" w:cs="仿宋_GB2312"/>
        </w:rPr>
        <w:t>，治理标准10</w:t>
      </w:r>
      <w:r>
        <w:rPr>
          <w:rFonts w:hint="eastAsia" w:ascii="仿宋_GB2312" w:hAnsi="仿宋_GB2312" w:eastAsia="仿宋_GB2312" w:cs="仿宋_GB2312"/>
          <w:lang w:eastAsia="zh-CN"/>
        </w:rPr>
        <w:t>—</w:t>
      </w:r>
      <w:r>
        <w:rPr>
          <w:rFonts w:hint="eastAsia" w:ascii="仿宋_GB2312" w:hAnsi="仿宋_GB2312" w:eastAsia="仿宋_GB2312" w:cs="仿宋_GB2312"/>
        </w:rPr>
        <w:t>20年一遇。</w:t>
      </w:r>
    </w:p>
    <w:p w14:paraId="286B863D">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65" w:name="_Toc78187456"/>
      <w:bookmarkStart w:id="66" w:name="_Toc78187605"/>
      <w:bookmarkStart w:id="67" w:name="_Toc114063688"/>
      <w:bookmarkStart w:id="68" w:name="_Toc78187454"/>
      <w:bookmarkStart w:id="69" w:name="_Toc78187603"/>
      <w:r>
        <w:rPr>
          <w:rFonts w:hint="eastAsia" w:ascii="楷体_GB2312" w:hAnsi="楷体_GB2312" w:eastAsia="楷体_GB2312" w:cs="楷体_GB2312"/>
          <w:b/>
          <w:bCs w:val="0"/>
          <w:sz w:val="32"/>
          <w:szCs w:val="36"/>
        </w:rPr>
        <w:t>（二）</w:t>
      </w:r>
      <w:bookmarkEnd w:id="65"/>
      <w:bookmarkEnd w:id="66"/>
      <w:r>
        <w:rPr>
          <w:rFonts w:hint="eastAsia" w:ascii="楷体_GB2312" w:hAnsi="楷体_GB2312" w:eastAsia="楷体_GB2312" w:cs="楷体_GB2312"/>
          <w:b/>
          <w:bCs w:val="0"/>
          <w:sz w:val="32"/>
          <w:szCs w:val="36"/>
        </w:rPr>
        <w:t>加快病险水库除险加固</w:t>
      </w:r>
      <w:bookmarkEnd w:id="67"/>
    </w:p>
    <w:p w14:paraId="6F2084E0">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认真贯彻落实《国务院办公厅关于切实加强水库除险加固和运行管护工作的通知》，以确保水库安全运行为目标，持续开展病险水库隐患排查、安全鉴定等工作。已进行过安全鉴定的水库水闸，安全隐患问题相对较小的，根据安全隐患问题相应进行除险加固，对于大坝坝基坝体渗漏的进行防渗处理，闸门启闭困难及</w:t>
      </w:r>
      <w:r>
        <w:rPr>
          <w:rFonts w:hint="eastAsia" w:ascii="仿宋_GB2312" w:hAnsi="仿宋_GB2312" w:eastAsia="仿宋_GB2312" w:cs="仿宋_GB2312"/>
          <w:highlight w:val="none"/>
        </w:rPr>
        <w:t>老化的进行</w:t>
      </w:r>
      <w:r>
        <w:rPr>
          <w:rFonts w:hint="eastAsia" w:ascii="仿宋_GB2312" w:hAnsi="仿宋_GB2312" w:eastAsia="仿宋_GB2312" w:cs="仿宋_GB2312"/>
        </w:rPr>
        <w:t>闸门更换，安全监测存在风险的进行自动化监测设施重建，及早消除安全风险；对于安全隐患问题相对较大的水库水闸，提出</w:t>
      </w:r>
      <w:r>
        <w:rPr>
          <w:rFonts w:hint="eastAsia" w:ascii="仿宋_GB2312" w:hAnsi="仿宋_GB2312" w:eastAsia="仿宋_GB2312" w:cs="仿宋_GB2312"/>
          <w:highlight w:val="none"/>
        </w:rPr>
        <w:t>降</w:t>
      </w:r>
      <w:r>
        <w:rPr>
          <w:rFonts w:hint="eastAsia" w:ascii="仿宋_GB2312" w:hAnsi="仿宋_GB2312" w:eastAsia="仿宋_GB2312" w:cs="仿宋_GB2312"/>
        </w:rPr>
        <w:t>等报废计划措施，全面解决存量问题，实现水库安全良性运行。加强安全监测，逐步推进水库运行管理规范化、信息化。</w:t>
      </w:r>
    </w:p>
    <w:p w14:paraId="34EF0015">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70" w:name="_Toc78187604"/>
      <w:bookmarkStart w:id="71" w:name="_Toc78187455"/>
      <w:bookmarkStart w:id="72" w:name="_Toc114063689"/>
      <w:r>
        <w:rPr>
          <w:rFonts w:hint="eastAsia" w:ascii="楷体_GB2312" w:hAnsi="楷体_GB2312" w:eastAsia="楷体_GB2312" w:cs="楷体_GB2312"/>
          <w:b/>
          <w:bCs w:val="0"/>
          <w:sz w:val="32"/>
          <w:szCs w:val="36"/>
        </w:rPr>
        <w:t>（三）加强</w:t>
      </w:r>
      <w:bookmarkEnd w:id="70"/>
      <w:bookmarkEnd w:id="71"/>
      <w:r>
        <w:rPr>
          <w:rFonts w:hint="eastAsia" w:ascii="楷体_GB2312" w:hAnsi="楷体_GB2312" w:eastAsia="楷体_GB2312" w:cs="楷体_GB2312"/>
          <w:b/>
          <w:bCs w:val="0"/>
          <w:sz w:val="32"/>
          <w:szCs w:val="36"/>
        </w:rPr>
        <w:t>城镇防洪能力建设</w:t>
      </w:r>
      <w:bookmarkEnd w:id="72"/>
    </w:p>
    <w:p w14:paraId="3E333770">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筹洪水防御、市政建设、环境整治、生态保护与修复、城市水文化等需要，依托流域防洪工程体系，加快推进城市防洪工程建设步伐，采取修建防洪堤、疏浚河道等措施加以防护，着力解决城市防洪薄弱环节。“十四五”期间，在江达、边坝、贡觉、洛隆等县城区或新城区新建防洪堤工程，防洪标准30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50年一遇，保证城区防洪安全。</w:t>
      </w:r>
    </w:p>
    <w:p w14:paraId="09A87CF9">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val="0"/>
          <w:bCs/>
          <w:sz w:val="32"/>
          <w:szCs w:val="36"/>
        </w:rPr>
      </w:pPr>
      <w:bookmarkStart w:id="73" w:name="_Toc114063690"/>
      <w:r>
        <w:rPr>
          <w:rFonts w:hint="eastAsia" w:ascii="楷体_GB2312" w:hAnsi="楷体_GB2312" w:eastAsia="楷体_GB2312" w:cs="楷体_GB2312"/>
          <w:b/>
          <w:bCs w:val="0"/>
          <w:sz w:val="32"/>
          <w:szCs w:val="36"/>
        </w:rPr>
        <w:t>（四）开展山洪灾害防治</w:t>
      </w:r>
      <w:bookmarkEnd w:id="68"/>
      <w:bookmarkEnd w:id="69"/>
      <w:bookmarkEnd w:id="73"/>
    </w:p>
    <w:p w14:paraId="70C5000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人口相对集中、洪水威胁大的区域为重点，按照以非工程措施为主、非工程措施和工程措施相结合，群测群防为主、群防与专防相结合的思路，加强山洪灾害防治建设。加快农村基层防汛体系建设，优化调整自动雨水情监测站网布局，健全山洪灾害监测预警系统，推动面向公众联合发布山洪灾害气象风险预警。“十四五”期间，以山洪灾害严重且影响范围大的山洪沟为重点，优先开展江达县、丁青县、察雅县、八宿县、洛隆县7条山洪沟治理工程。</w:t>
      </w:r>
    </w:p>
    <w:p w14:paraId="10AF19D0">
      <w:pPr>
        <w:pStyle w:val="39"/>
        <w:rPr>
          <w:rFonts w:ascii="Times New Roman" w:hAnsi="Times New Roman" w:cs="Times New Roman"/>
        </w:rPr>
      </w:pPr>
      <w:bookmarkStart w:id="74" w:name="_Toc113972145"/>
      <w:bookmarkStart w:id="75" w:name="_Toc78187458"/>
      <w:bookmarkStart w:id="76" w:name="_Toc114063691"/>
      <w:bookmarkStart w:id="77" w:name="_Toc78187607"/>
      <w:r>
        <w:rPr>
          <w:rFonts w:ascii="Times New Roman" w:hAnsi="Times New Roman" w:cs="Times New Roman"/>
        </w:rPr>
        <w:t>专栏1              防洪提升工程</w:t>
      </w:r>
      <w:bookmarkEnd w:id="74"/>
      <w:bookmarkEnd w:id="75"/>
      <w:bookmarkEnd w:id="76"/>
      <w:bookmarkEnd w:id="77"/>
    </w:p>
    <w:p w14:paraId="7594F80E">
      <w:pPr>
        <w:pStyle w:val="41"/>
        <w:pBdr>
          <w:top w:val="single" w:color="auto" w:sz="4" w:space="1"/>
          <w:left w:val="single" w:color="auto" w:sz="4" w:space="4"/>
          <w:bottom w:val="single" w:color="auto" w:sz="4" w:space="1"/>
          <w:right w:val="single" w:color="auto" w:sz="4" w:space="4"/>
        </w:pBdr>
        <w:spacing w:line="400" w:lineRule="exact"/>
        <w:ind w:firstLine="482"/>
        <w:rPr>
          <w:rFonts w:hint="eastAsia" w:ascii="仿宋_GB2312" w:hAnsi="仿宋_GB2312" w:eastAsia="仿宋_GB2312" w:cs="仿宋_GB2312"/>
          <w:b/>
          <w:bCs/>
        </w:rPr>
      </w:pPr>
      <w:r>
        <w:rPr>
          <w:rFonts w:hint="eastAsia" w:ascii="仿宋_GB2312" w:hAnsi="仿宋_GB2312" w:eastAsia="仿宋_GB2312" w:cs="仿宋_GB2312"/>
          <w:b/>
          <w:bCs/>
        </w:rPr>
        <w:t>流域面积3000平方公里以上中小河流治理</w:t>
      </w:r>
    </w:p>
    <w:p w14:paraId="16C090B9">
      <w:pPr>
        <w:pStyle w:val="41"/>
        <w:pBdr>
          <w:top w:val="single" w:color="auto" w:sz="4" w:space="1"/>
          <w:left w:val="single" w:color="auto" w:sz="4" w:space="4"/>
          <w:bottom w:val="single" w:color="auto" w:sz="4" w:space="1"/>
          <w:right w:val="single" w:color="auto" w:sz="4" w:space="4"/>
        </w:pBdr>
        <w:spacing w:line="400" w:lineRule="exact"/>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实施澜沧江昂曲重点河段俄洛镇教育园区段治理工程、澜沧江昂曲重点河段治理工程、左贡县伟曲扎玉段河道治理工程、左贡县伟曲碧土段河道治理工程、左贡县玉曲流域美玉段治理工程、盖曲重点河段卡若区段治理工程、藏曲重点河段治理工程、江达县波罗乡政府整体搬迁项目防洪堤工程、通天河重点河段治理工程，总投资3.2亿元，“十四五”期间全部完成。</w:t>
      </w:r>
    </w:p>
    <w:p w14:paraId="4EC73556">
      <w:pPr>
        <w:pStyle w:val="41"/>
        <w:pBdr>
          <w:top w:val="single" w:color="auto" w:sz="4" w:space="1"/>
          <w:left w:val="single" w:color="auto" w:sz="4" w:space="4"/>
          <w:bottom w:val="single" w:color="auto" w:sz="4" w:space="1"/>
          <w:right w:val="single" w:color="auto" w:sz="4" w:space="4"/>
        </w:pBdr>
        <w:spacing w:line="400" w:lineRule="exact"/>
        <w:ind w:firstLine="482"/>
        <w:rPr>
          <w:rFonts w:hint="eastAsia" w:ascii="仿宋_GB2312" w:hAnsi="仿宋_GB2312" w:eastAsia="仿宋_GB2312" w:cs="仿宋_GB2312"/>
          <w:b/>
          <w:bCs/>
        </w:rPr>
      </w:pPr>
      <w:r>
        <w:rPr>
          <w:rFonts w:hint="eastAsia" w:ascii="仿宋_GB2312" w:hAnsi="仿宋_GB2312" w:eastAsia="仿宋_GB2312" w:cs="仿宋_GB2312"/>
          <w:b/>
          <w:bCs/>
        </w:rPr>
        <w:t>流域面积200-3000平方公里小河流域治理</w:t>
      </w:r>
    </w:p>
    <w:p w14:paraId="1219C38E">
      <w:pPr>
        <w:pStyle w:val="41"/>
        <w:pBdr>
          <w:top w:val="single" w:color="auto" w:sz="4" w:space="1"/>
          <w:left w:val="single" w:color="auto" w:sz="4" w:space="4"/>
          <w:bottom w:val="single" w:color="auto" w:sz="4" w:space="1"/>
          <w:right w:val="single" w:color="auto" w:sz="4" w:space="4"/>
        </w:pBdr>
        <w:spacing w:line="400" w:lineRule="exact"/>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实施类乌齐县马曲拥卡玛多乡防洪工程、八宿县娃拉拥曲瓦乡段防洪堤工程、贡觉县马曲上游哈加乡曲登段防洪堤、洛隆县康沙曲上游玉西乡段防洪堤工程、洛隆县马曲拥马利镇布许沟段防洪工程、丁青县打曲上游沙贡乡河道治理工程、类乌齐县恩达曲伊日乡段防洪堤工程、江达县</w:t>
      </w:r>
      <w:r>
        <w:rPr>
          <w:rFonts w:hint="eastAsia" w:ascii="仿宋_GB2312" w:hAnsi="仿宋_GB2312" w:eastAsia="仿宋_GB2312" w:cs="仿宋_GB2312"/>
          <w:lang w:eastAsia="zh-CN"/>
        </w:rPr>
        <w:t>江西</w:t>
      </w:r>
      <w:r>
        <w:rPr>
          <w:rFonts w:hint="eastAsia" w:ascii="仿宋_GB2312" w:hAnsi="仿宋_GB2312" w:eastAsia="仿宋_GB2312" w:cs="仿宋_GB2312"/>
        </w:rPr>
        <w:t>乡山岩村防洪工程、江达县代仁弄曲河道治理工程、边坝县脚弄嘎都瓦乡防洪堤工程、江达县汪布顶乡卓格村防洪工程、洛隆县拉依村防洪堤工程、江达县卓克曲河道治理工程、察雅县汪布曲宗沙乡仲果村防洪工程、洛隆县格谱曲河道治理工程、察雅县坤达曲阿孜乡安置区堤防工程、芒康县曲井曲堆吾龙段治理工程、察雅县卡曲扩大乡旺达果尼通村堤防工程、洛隆县康沙镇康沙河防洪堤工程、丁青县色扎乡防洪工程、左贡县真空弄</w:t>
      </w:r>
      <w:r>
        <w:rPr>
          <w:rFonts w:hint="eastAsia" w:ascii="仿宋_GB2312" w:hAnsi="仿宋_GB2312" w:eastAsia="仿宋_GB2312" w:cs="仿宋_GB2312"/>
          <w:lang w:eastAsia="zh-CN"/>
        </w:rPr>
        <w:t>坝</w:t>
      </w:r>
      <w:r>
        <w:rPr>
          <w:rFonts w:hint="eastAsia" w:ascii="仿宋_GB2312" w:hAnsi="仿宋_GB2312" w:eastAsia="仿宋_GB2312" w:cs="仿宋_GB2312"/>
        </w:rPr>
        <w:t>治理、边坝县麦曲边坝镇河道综合治理工程、贡觉县纳曲河河道治理工程、卡若区热曲河道治理工程，总投资4.4亿元</w:t>
      </w:r>
      <w:bookmarkStart w:id="78" w:name="_Hlk89852476"/>
      <w:r>
        <w:rPr>
          <w:rFonts w:hint="eastAsia" w:ascii="仿宋_GB2312" w:hAnsi="仿宋_GB2312" w:eastAsia="仿宋_GB2312" w:cs="仿宋_GB2312"/>
        </w:rPr>
        <w:t>，其中“十四五”期间投资4.2亿元</w:t>
      </w:r>
      <w:bookmarkEnd w:id="78"/>
      <w:r>
        <w:rPr>
          <w:rFonts w:hint="eastAsia" w:ascii="仿宋_GB2312" w:hAnsi="仿宋_GB2312" w:eastAsia="仿宋_GB2312" w:cs="仿宋_GB2312"/>
        </w:rPr>
        <w:t>。</w:t>
      </w:r>
    </w:p>
    <w:p w14:paraId="7E10124D">
      <w:pPr>
        <w:pStyle w:val="41"/>
        <w:pBdr>
          <w:top w:val="single" w:color="auto" w:sz="4" w:space="1"/>
          <w:left w:val="single" w:color="auto" w:sz="4" w:space="4"/>
          <w:bottom w:val="single" w:color="auto" w:sz="4" w:space="1"/>
          <w:right w:val="single" w:color="auto" w:sz="4" w:space="4"/>
        </w:pBdr>
        <w:spacing w:line="400" w:lineRule="exact"/>
        <w:ind w:firstLine="482"/>
        <w:rPr>
          <w:rFonts w:hint="eastAsia" w:ascii="仿宋_GB2312" w:hAnsi="仿宋_GB2312" w:eastAsia="仿宋_GB2312" w:cs="仿宋_GB2312"/>
          <w:b/>
          <w:bCs/>
        </w:rPr>
      </w:pPr>
      <w:r>
        <w:rPr>
          <w:rFonts w:hint="eastAsia" w:ascii="仿宋_GB2312" w:hAnsi="仿宋_GB2312" w:eastAsia="仿宋_GB2312" w:cs="仿宋_GB2312"/>
          <w:b/>
          <w:bCs/>
        </w:rPr>
        <w:t>山洪灾害防治</w:t>
      </w:r>
    </w:p>
    <w:p w14:paraId="0A4A1A2F">
      <w:pPr>
        <w:pStyle w:val="41"/>
        <w:pBdr>
          <w:top w:val="single" w:color="auto" w:sz="4" w:space="1"/>
          <w:left w:val="single" w:color="auto" w:sz="4" w:space="4"/>
          <w:bottom w:val="single" w:color="auto" w:sz="4" w:space="1"/>
          <w:right w:val="single" w:color="auto" w:sz="4" w:space="4"/>
        </w:pBdr>
        <w:spacing w:line="400" w:lineRule="exact"/>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实施江达县汪布顶乡来玛村山洪沟治理工程、丁青县尺牍镇乌巴村瓦秀山洪沟治理项目、察雅县烟多镇色嘎村山洪治理工程、八宿县拉根乡龙青沟治理工程、洛隆县硕督镇格依村山洪沟治理工程、八宿县林卡乡山洪沟治理工程、八宿县瓦来泥巴村山洪沟治理工程，总投资0.67亿元，“十四五”期间全部完成。</w:t>
      </w:r>
    </w:p>
    <w:p w14:paraId="79D0344C">
      <w:pPr>
        <w:pStyle w:val="41"/>
        <w:pBdr>
          <w:top w:val="single" w:color="auto" w:sz="4" w:space="1"/>
          <w:left w:val="single" w:color="auto" w:sz="4" w:space="4"/>
          <w:bottom w:val="single" w:color="auto" w:sz="4" w:space="1"/>
          <w:right w:val="single" w:color="auto" w:sz="4" w:space="4"/>
        </w:pBdr>
        <w:spacing w:line="400" w:lineRule="exact"/>
        <w:ind w:firstLine="482"/>
        <w:rPr>
          <w:rFonts w:hint="eastAsia" w:ascii="仿宋_GB2312" w:hAnsi="仿宋_GB2312" w:eastAsia="仿宋_GB2312" w:cs="仿宋_GB2312"/>
          <w:b/>
          <w:bCs/>
        </w:rPr>
      </w:pPr>
      <w:r>
        <w:rPr>
          <w:rFonts w:hint="eastAsia" w:ascii="仿宋_GB2312" w:hAnsi="仿宋_GB2312" w:eastAsia="仿宋_GB2312" w:cs="仿宋_GB2312"/>
          <w:b/>
          <w:bCs/>
        </w:rPr>
        <w:t>城市防洪工程</w:t>
      </w:r>
    </w:p>
    <w:p w14:paraId="0632C910">
      <w:pPr>
        <w:pStyle w:val="41"/>
        <w:pBdr>
          <w:top w:val="single" w:color="auto" w:sz="4" w:space="1"/>
          <w:left w:val="single" w:color="auto" w:sz="4" w:space="4"/>
          <w:bottom w:val="single" w:color="auto" w:sz="4" w:space="1"/>
          <w:right w:val="single" w:color="auto" w:sz="4" w:space="4"/>
        </w:pBdr>
        <w:spacing w:line="400" w:lineRule="exact"/>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实施江达县字曲河城区段防洪堤除险加固工程、边坝县新城区防洪堤工程、贡觉县普垄沟城区段防洪堤工程、洛隆县新城区防洪堤工程，总投资1.7亿元</w:t>
      </w:r>
      <w:r>
        <w:rPr>
          <w:rFonts w:hint="eastAsia" w:ascii="仿宋_GB2312" w:hAnsi="仿宋_GB2312" w:eastAsia="仿宋_GB2312" w:cs="仿宋_GB2312"/>
          <w:lang w:eastAsia="zh-CN"/>
        </w:rPr>
        <w:t>，</w:t>
      </w:r>
      <w:r>
        <w:rPr>
          <w:rFonts w:hint="eastAsia" w:ascii="仿宋_GB2312" w:hAnsi="仿宋_GB2312" w:eastAsia="仿宋_GB2312" w:cs="仿宋_GB2312"/>
        </w:rPr>
        <w:t>其中“十四五”期间投资1.5亿元。</w:t>
      </w:r>
    </w:p>
    <w:p w14:paraId="2EAE745D">
      <w:pPr>
        <w:pStyle w:val="27"/>
        <w:rPr>
          <w:rFonts w:cs="Times New Roman"/>
        </w:rPr>
        <w:sectPr>
          <w:pgSz w:w="11906" w:h="16838"/>
          <w:pgMar w:top="2098" w:right="1474" w:bottom="1984" w:left="1531" w:header="851" w:footer="992" w:gutter="0"/>
          <w:pgNumType w:fmt="decimal"/>
          <w:cols w:space="425" w:num="1"/>
          <w:docGrid w:type="lines" w:linePitch="312" w:charSpace="0"/>
        </w:sectPr>
      </w:pPr>
    </w:p>
    <w:p w14:paraId="76E32172">
      <w:pPr>
        <w:pStyle w:val="29"/>
        <w:pageBreakBefore w:val="0"/>
        <w:widowControl w:val="0"/>
        <w:kinsoku/>
        <w:wordWrap/>
        <w:overflowPunct/>
        <w:topLinePunct w:val="0"/>
        <w:autoSpaceDE/>
        <w:autoSpaceDN/>
        <w:bidi w:val="0"/>
        <w:spacing w:line="576" w:lineRule="atLeast"/>
        <w:ind w:firstLine="640" w:firstLineChars="200"/>
        <w:textAlignment w:val="auto"/>
        <w:rPr>
          <w:sz w:val="32"/>
          <w:szCs w:val="48"/>
        </w:rPr>
      </w:pPr>
      <w:bookmarkStart w:id="79" w:name="_Toc114063692"/>
      <w:r>
        <w:rPr>
          <w:sz w:val="32"/>
          <w:szCs w:val="48"/>
        </w:rPr>
        <w:t>四、维护河湖健康生命，提升河湖生态保护治理能力</w:t>
      </w:r>
      <w:bookmarkEnd w:id="79"/>
    </w:p>
    <w:p w14:paraId="3E4BDFAA">
      <w:pPr>
        <w:pStyle w:val="27"/>
        <w:pageBreakBefore w:val="0"/>
        <w:widowControl w:val="0"/>
        <w:kinsoku/>
        <w:wordWrap/>
        <w:overflowPunct/>
        <w:topLinePunct w:val="0"/>
        <w:autoSpaceDE/>
        <w:autoSpaceDN/>
        <w:bidi w:val="0"/>
        <w:spacing w:line="576"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照“原真性保护、退化地修复”的思路，以自然恢复为主、人工修复为辅，统筹水源涵养、水土流失防治、河湖生态保护与修复等措施，加强江河源头区、生态脆弱区、高原重要河湖的生态保护与修复，维护优良水生态环境，始终保持天蓝、地绿、水净，筑牢青藏高原生态屏障，助力打造全国乃至国际生态文明高地。</w:t>
      </w:r>
    </w:p>
    <w:p w14:paraId="63AE2321">
      <w:pPr>
        <w:pStyle w:val="32"/>
        <w:keepNext/>
        <w:keepLines/>
        <w:pageBreakBefore w:val="0"/>
        <w:widowControl w:val="0"/>
        <w:kinsoku/>
        <w:wordWrap/>
        <w:overflowPunct/>
        <w:topLinePunct w:val="0"/>
        <w:autoSpaceDE/>
        <w:autoSpaceDN/>
        <w:bidi w:val="0"/>
        <w:adjustRightInd/>
        <w:snapToGrid/>
        <w:spacing w:before="0" w:after="0" w:line="576" w:lineRule="atLeast"/>
        <w:ind w:left="0" w:leftChars="0" w:right="0" w:rightChars="0" w:firstLine="643" w:firstLineChars="200"/>
        <w:jc w:val="both"/>
        <w:textAlignment w:val="auto"/>
        <w:outlineLvl w:val="1"/>
        <w:rPr>
          <w:rFonts w:hint="eastAsia" w:ascii="楷体_GB2312" w:hAnsi="楷体_GB2312" w:eastAsia="楷体_GB2312" w:cs="楷体_GB2312"/>
          <w:b/>
          <w:bCs w:val="0"/>
          <w:sz w:val="32"/>
          <w:szCs w:val="36"/>
        </w:rPr>
      </w:pPr>
      <w:bookmarkStart w:id="80" w:name="_Toc78187460"/>
      <w:bookmarkStart w:id="81" w:name="_Toc114063693"/>
      <w:bookmarkStart w:id="82" w:name="_Toc78187609"/>
      <w:r>
        <w:rPr>
          <w:rFonts w:hint="eastAsia" w:ascii="楷体_GB2312" w:hAnsi="楷体_GB2312" w:eastAsia="楷体_GB2312" w:cs="楷体_GB2312"/>
          <w:b/>
          <w:bCs w:val="0"/>
          <w:sz w:val="32"/>
          <w:szCs w:val="36"/>
        </w:rPr>
        <w:t>（一）加强水源涵养与保护</w:t>
      </w:r>
      <w:bookmarkEnd w:id="80"/>
      <w:bookmarkEnd w:id="81"/>
      <w:bookmarkEnd w:id="82"/>
    </w:p>
    <w:p w14:paraId="47CBACB6">
      <w:pPr>
        <w:pStyle w:val="27"/>
        <w:pageBreakBefore w:val="0"/>
        <w:widowControl w:val="0"/>
        <w:kinsoku/>
        <w:wordWrap/>
        <w:overflowPunct/>
        <w:topLinePunct w:val="0"/>
        <w:autoSpaceDE/>
        <w:autoSpaceDN/>
        <w:bidi w:val="0"/>
        <w:spacing w:line="576"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坚持预防为主、防治结合，着力提升江河源头区水源涵养能力。在怒江、澜沧江、金沙江源头主要进出通道设立封禁治理宣传碑、宣传牌，严格控制</w:t>
      </w:r>
      <w:r>
        <w:rPr>
          <w:rFonts w:hint="eastAsia" w:ascii="仿宋_GB2312" w:hAnsi="仿宋_GB2312" w:eastAsia="仿宋_GB2312" w:cs="仿宋_GB2312"/>
          <w:lang w:val="en-US" w:eastAsia="zh-CN"/>
        </w:rPr>
        <w:t>出入</w:t>
      </w:r>
      <w:r>
        <w:rPr>
          <w:rFonts w:hint="eastAsia" w:ascii="仿宋_GB2312" w:hAnsi="仿宋_GB2312" w:eastAsia="仿宋_GB2312" w:cs="仿宋_GB2312"/>
        </w:rPr>
        <w:t>人数、活动范围，禁止人为活动对当地生态系统的干扰。在金沙江流域昌都段等人类活动较强的江河源头区，配合有关部门，有序推进高海拔生态移民搬迁，对搬迁迹地进行系统的生态恢复治理；以坡耕地、侵蚀沟、山洪沟、道路裸露边坡等严重水土流失和</w:t>
      </w:r>
      <w:r>
        <w:rPr>
          <w:rFonts w:hint="eastAsia" w:ascii="仿宋_GB2312" w:hAnsi="仿宋_GB2312" w:eastAsia="仿宋_GB2312" w:cs="仿宋_GB2312"/>
          <w:lang w:eastAsia="zh-CN"/>
        </w:rPr>
        <w:t>农业面源污染</w:t>
      </w:r>
      <w:r>
        <w:rPr>
          <w:rFonts w:hint="eastAsia" w:ascii="仿宋_GB2312" w:hAnsi="仿宋_GB2312" w:eastAsia="仿宋_GB2312" w:cs="仿宋_GB2312"/>
        </w:rPr>
        <w:t>防控为重点，兼顾生态旅游、乡村振兴等发展需求，通过生物措施和工程措施相结合，分类治理、分区施策，打造生态安全型、生态清洁型、生态经济型、生态观光型等不同功能特色的生态小流域，强化水土流失预防保护与治理；对金沙江干流右岸及重要支流两岸岸线进行生态改造。</w:t>
      </w:r>
      <w:bookmarkStart w:id="83" w:name="_Toc114063694"/>
      <w:bookmarkStart w:id="84" w:name="_Toc78187461"/>
      <w:bookmarkStart w:id="85" w:name="_Toc78187610"/>
    </w:p>
    <w:p w14:paraId="0B4D9AFB">
      <w:pPr>
        <w:pStyle w:val="27"/>
        <w:pageBreakBefore w:val="0"/>
        <w:widowControl w:val="0"/>
        <w:kinsoku/>
        <w:wordWrap/>
        <w:overflowPunct/>
        <w:topLinePunct w:val="0"/>
        <w:autoSpaceDE/>
        <w:autoSpaceDN/>
        <w:bidi w:val="0"/>
        <w:spacing w:line="576" w:lineRule="atLeast"/>
        <w:ind w:firstLine="643" w:firstLineChars="200"/>
        <w:textAlignment w:val="auto"/>
        <w:rPr>
          <w:rFonts w:hint="eastAsia" w:ascii="楷体_GB2312" w:hAnsi="楷体_GB2312" w:eastAsia="楷体_GB2312" w:cs="楷体_GB2312"/>
          <w:b/>
          <w:bCs w:val="0"/>
          <w:sz w:val="32"/>
          <w:szCs w:val="36"/>
        </w:rPr>
      </w:pPr>
      <w:r>
        <w:rPr>
          <w:rFonts w:hint="eastAsia" w:ascii="楷体_GB2312" w:hAnsi="楷体_GB2312" w:eastAsia="楷体_GB2312" w:cs="楷体_GB2312"/>
          <w:b/>
          <w:bCs w:val="0"/>
          <w:sz w:val="32"/>
          <w:szCs w:val="36"/>
        </w:rPr>
        <w:t>（二）</w:t>
      </w:r>
      <w:r>
        <w:rPr>
          <w:rFonts w:hint="eastAsia" w:ascii="楷体_GB2312" w:hAnsi="楷体_GB2312" w:eastAsia="楷体_GB2312" w:cs="楷体_GB2312"/>
          <w:b/>
          <w:bCs w:val="0"/>
          <w:sz w:val="32"/>
          <w:szCs w:val="36"/>
          <w:lang w:val="en-US" w:eastAsia="zh-CN"/>
        </w:rPr>
        <w:t>大力</w:t>
      </w:r>
      <w:r>
        <w:rPr>
          <w:rFonts w:hint="eastAsia" w:ascii="楷体_GB2312" w:hAnsi="楷体_GB2312" w:eastAsia="楷体_GB2312" w:cs="楷体_GB2312"/>
          <w:b/>
          <w:bCs w:val="0"/>
          <w:sz w:val="32"/>
          <w:szCs w:val="36"/>
        </w:rPr>
        <w:t>推进水土保持生态建设</w:t>
      </w:r>
      <w:bookmarkEnd w:id="83"/>
      <w:bookmarkEnd w:id="84"/>
      <w:bookmarkEnd w:id="85"/>
    </w:p>
    <w:p w14:paraId="5CEECCFE">
      <w:pPr>
        <w:pStyle w:val="27"/>
        <w:pageBreakBefore w:val="0"/>
        <w:widowControl w:val="0"/>
        <w:kinsoku/>
        <w:wordWrap/>
        <w:overflowPunct/>
        <w:topLinePunct w:val="0"/>
        <w:autoSpaceDE/>
        <w:autoSpaceDN/>
        <w:bidi w:val="0"/>
        <w:spacing w:line="576" w:lineRule="atLeast"/>
        <w:textAlignment w:val="auto"/>
        <w:rPr>
          <w:rFonts w:hint="eastAsia" w:ascii="仿宋_GB2312" w:hAnsi="仿宋_GB2312" w:eastAsia="仿宋_GB2312" w:cs="仿宋_GB2312"/>
        </w:rPr>
      </w:pPr>
      <w:r>
        <w:rPr>
          <w:rFonts w:hint="eastAsia" w:ascii="仿宋_GB2312" w:hAnsi="仿宋_GB2312" w:eastAsia="仿宋_GB2312" w:cs="仿宋_GB2312"/>
        </w:rPr>
        <w:t>本着“预防为主，保护优先，全面规划，综合防治”的理念，坚持“大预防、小治理”的原则，以卡若区、江达县、类乌齐县为重点，因地制宜采取工程措施、林草措施及预防措施有序推进水土流失综合防治。工程措施包括坡耕地整治、建立谷坊、拦沙坝、蓄水池、截排水沟等小型水利水保工程，林草措施包括营造水土保持林、农田防护林、路堤渠防护林</w:t>
      </w:r>
      <w:r>
        <w:rPr>
          <w:rFonts w:hint="eastAsia" w:ascii="仿宋_GB2312" w:hAnsi="仿宋_GB2312" w:eastAsia="仿宋_GB2312" w:cs="仿宋_GB2312"/>
          <w:lang w:eastAsia="zh-CN"/>
        </w:rPr>
        <w:t>及</w:t>
      </w:r>
      <w:r>
        <w:rPr>
          <w:rFonts w:hint="eastAsia" w:ascii="仿宋_GB2312" w:hAnsi="仿宋_GB2312" w:eastAsia="仿宋_GB2312" w:cs="仿宋_GB2312"/>
        </w:rPr>
        <w:t>人工</w:t>
      </w:r>
      <w:bookmarkStart w:id="216" w:name="_GoBack"/>
      <w:r>
        <w:rPr>
          <w:rFonts w:hint="eastAsia" w:ascii="仿宋_GB2312" w:hAnsi="仿宋_GB2312" w:eastAsia="仿宋_GB2312" w:cs="仿宋_GB2312"/>
        </w:rPr>
        <w:t>种草</w:t>
      </w:r>
      <w:bookmarkEnd w:id="216"/>
      <w:r>
        <w:rPr>
          <w:rFonts w:hint="eastAsia" w:ascii="仿宋_GB2312" w:hAnsi="仿宋_GB2312" w:eastAsia="仿宋_GB2312" w:cs="仿宋_GB2312"/>
        </w:rPr>
        <w:t>，预防措施包括保护管理、封育、治理及能源替代等措施。“十四五”期间，新增水土流失治理面积220平方公里。</w:t>
      </w:r>
      <w:bookmarkStart w:id="86" w:name="_Toc114063695"/>
    </w:p>
    <w:p w14:paraId="1CB686A8">
      <w:pPr>
        <w:pStyle w:val="27"/>
        <w:pageBreakBefore w:val="0"/>
        <w:widowControl w:val="0"/>
        <w:kinsoku/>
        <w:wordWrap/>
        <w:overflowPunct/>
        <w:topLinePunct w:val="0"/>
        <w:autoSpaceDE/>
        <w:autoSpaceDN/>
        <w:bidi w:val="0"/>
        <w:spacing w:line="576" w:lineRule="atLeast"/>
        <w:textAlignment w:val="auto"/>
        <w:rPr>
          <w:rFonts w:hint="eastAsia" w:ascii="楷体_GB2312" w:hAnsi="楷体_GB2312" w:eastAsia="楷体_GB2312" w:cs="楷体_GB2312"/>
          <w:b/>
          <w:bCs w:val="0"/>
          <w:sz w:val="32"/>
          <w:szCs w:val="36"/>
        </w:rPr>
      </w:pPr>
      <w:r>
        <w:rPr>
          <w:rFonts w:hint="eastAsia" w:ascii="楷体_GB2312" w:hAnsi="楷体_GB2312" w:eastAsia="楷体_GB2312" w:cs="楷体_GB2312"/>
          <w:b/>
          <w:bCs w:val="0"/>
          <w:sz w:val="32"/>
          <w:szCs w:val="36"/>
        </w:rPr>
        <w:t>（三）加强河湖生态保护与修复</w:t>
      </w:r>
      <w:bookmarkEnd w:id="86"/>
    </w:p>
    <w:p w14:paraId="668362C9">
      <w:pPr>
        <w:pStyle w:val="27"/>
        <w:pageBreakBefore w:val="0"/>
        <w:widowControl w:val="0"/>
        <w:kinsoku/>
        <w:wordWrap/>
        <w:overflowPunct/>
        <w:topLinePunct w:val="0"/>
        <w:autoSpaceDE/>
        <w:autoSpaceDN/>
        <w:bidi w:val="0"/>
        <w:spacing w:line="576" w:lineRule="atLeast"/>
        <w:textAlignment w:val="auto"/>
        <w:rPr>
          <w:rFonts w:hint="eastAsia" w:ascii="仿宋_GB2312" w:hAnsi="仿宋_GB2312" w:eastAsia="仿宋_GB2312" w:cs="仿宋_GB2312"/>
        </w:rPr>
      </w:pPr>
      <w:r>
        <w:rPr>
          <w:rFonts w:hint="eastAsia" w:ascii="仿宋_GB2312" w:hAnsi="仿宋_GB2312" w:eastAsia="仿宋_GB2312" w:cs="仿宋_GB2312"/>
        </w:rPr>
        <w:t>加强重点河湖生态保护与修复，加大河湖水域岸线保护修复和生态廊道建设，满足农牧民群众对优质生态环境的需求。推进金沙江等重点河流的水生态保护与修复。巩固河湖管理范围划定成果，编制河湖岸线保护与利用规划，开展河湖健康评价。制定重点河流生态流量保障方案，确定基本生态流量目标，建立监测预警机制。保护传承弘扬水文化和推进水情教育。</w:t>
      </w:r>
    </w:p>
    <w:p w14:paraId="4DE7A403">
      <w:pPr>
        <w:pStyle w:val="32"/>
        <w:keepNext/>
        <w:keepLines/>
        <w:pageBreakBefore w:val="0"/>
        <w:widowControl w:val="0"/>
        <w:kinsoku/>
        <w:wordWrap/>
        <w:overflowPunct/>
        <w:topLinePunct w:val="0"/>
        <w:autoSpaceDE/>
        <w:autoSpaceDN/>
        <w:bidi w:val="0"/>
        <w:adjustRightInd/>
        <w:snapToGrid/>
        <w:spacing w:before="0" w:after="0" w:line="576" w:lineRule="atLeast"/>
        <w:ind w:left="0" w:leftChars="0" w:right="0" w:rightChars="0" w:firstLine="643" w:firstLineChars="200"/>
        <w:jc w:val="both"/>
        <w:textAlignment w:val="auto"/>
        <w:outlineLvl w:val="9"/>
        <w:rPr>
          <w:rFonts w:hint="eastAsia" w:ascii="楷体_GB2312" w:hAnsi="楷体_GB2312" w:eastAsia="楷体_GB2312" w:cs="楷体_GB2312"/>
          <w:b/>
          <w:bCs w:val="0"/>
          <w:sz w:val="32"/>
          <w:szCs w:val="36"/>
        </w:rPr>
      </w:pPr>
      <w:bookmarkStart w:id="87" w:name="_Toc78187611"/>
      <w:bookmarkStart w:id="88" w:name="_Toc78187462"/>
      <w:bookmarkStart w:id="89" w:name="_Toc114063696"/>
      <w:r>
        <w:rPr>
          <w:rFonts w:hint="eastAsia" w:ascii="楷体_GB2312" w:hAnsi="楷体_GB2312" w:eastAsia="楷体_GB2312" w:cs="楷体_GB2312"/>
          <w:b/>
          <w:bCs w:val="0"/>
          <w:sz w:val="32"/>
          <w:szCs w:val="36"/>
        </w:rPr>
        <w:t>（四）开展水美乡村建设</w:t>
      </w:r>
      <w:bookmarkEnd w:id="87"/>
      <w:bookmarkEnd w:id="88"/>
      <w:bookmarkEnd w:id="89"/>
    </w:p>
    <w:p w14:paraId="77B777B7">
      <w:pPr>
        <w:pStyle w:val="27"/>
        <w:pageBreakBefore w:val="0"/>
        <w:widowControl w:val="0"/>
        <w:kinsoku/>
        <w:wordWrap/>
        <w:overflowPunct/>
        <w:topLinePunct w:val="0"/>
        <w:autoSpaceDE/>
        <w:autoSpaceDN/>
        <w:bidi w:val="0"/>
        <w:spacing w:line="576" w:lineRule="atLeast"/>
        <w:ind w:left="0" w:leftChars="0" w:right="0" w:rightChars="0" w:firstLine="640" w:firstLineChars="200"/>
        <w:jc w:val="both"/>
        <w:textAlignment w:val="auto"/>
        <w:outlineLvl w:val="9"/>
        <w:rPr>
          <w:rFonts w:hint="eastAsia" w:ascii="仿宋_GB2312" w:hAnsi="仿宋_GB2312" w:eastAsia="仿宋_GB2312" w:cs="仿宋_GB2312"/>
          <w:lang w:eastAsia="zh-CN"/>
        </w:rPr>
      </w:pPr>
      <w:r>
        <w:rPr>
          <w:rFonts w:hint="eastAsia" w:ascii="仿宋_GB2312" w:hAnsi="仿宋_GB2312" w:eastAsia="仿宋_GB2312" w:cs="仿宋_GB2312"/>
        </w:rPr>
        <w:t>围绕乡村宜居宜业，以县域为单元、河流为脉络、村庄为节点，开展水美乡村建设，突出系统治理，统筹水系连通、河道清障、清淤疏浚、岸坡整治、水源涵养与水土保持、河湖管护等多项水利措施，以河流水系为脉络，以村庄为节点，集中连片统筹规划，与相关部门形成合力，水域岸线并治，建设河畅、水清、岸绿、景美的水美乡村，聚焦引领形成合力促进乡村振兴，增强广大农民群众的</w:t>
      </w:r>
      <w:r>
        <w:rPr>
          <w:rFonts w:hint="eastAsia" w:ascii="仿宋_GB2312" w:hAnsi="仿宋_GB2312" w:eastAsia="仿宋_GB2312" w:cs="仿宋_GB2312"/>
          <w:lang w:eastAsia="zh-CN"/>
        </w:rPr>
        <w:t>获得感、幸福感、安全感</w:t>
      </w:r>
      <w:r>
        <w:rPr>
          <w:rFonts w:hint="eastAsia" w:ascii="仿宋_GB2312" w:hAnsi="仿宋_GB2312" w:eastAsia="仿宋_GB2312" w:cs="仿宋_GB2312"/>
        </w:rPr>
        <w:t>。“十四五”期间，积极推进八宿县水系连通及水美乡村建设</w:t>
      </w:r>
      <w:r>
        <w:rPr>
          <w:rFonts w:hint="eastAsia" w:ascii="仿宋_GB2312" w:hAnsi="仿宋_GB2312" w:eastAsia="仿宋_GB2312" w:cs="仿宋_GB2312"/>
          <w:lang w:eastAsia="zh-CN"/>
        </w:rPr>
        <w:t>。</w:t>
      </w:r>
    </w:p>
    <w:p w14:paraId="59B16266">
      <w:pPr>
        <w:pStyle w:val="39"/>
        <w:jc w:val="both"/>
        <w:rPr>
          <w:rFonts w:ascii="Times New Roman" w:hAnsi="Times New Roman" w:cs="Times New Roman"/>
        </w:rPr>
      </w:pPr>
      <w:bookmarkStart w:id="90" w:name="_Toc114063697"/>
      <w:bookmarkStart w:id="91" w:name="_Toc78187463"/>
      <w:bookmarkStart w:id="92" w:name="_Toc113972150"/>
      <w:bookmarkStart w:id="93" w:name="_Toc78187612"/>
      <w:r>
        <w:rPr>
          <w:rFonts w:ascii="Times New Roman" w:hAnsi="Times New Roman" w:cs="Times New Roman"/>
        </w:rPr>
        <w:t>专栏2        水生态修复与水系治理工程</w:t>
      </w:r>
      <w:bookmarkEnd w:id="90"/>
      <w:bookmarkEnd w:id="91"/>
      <w:bookmarkEnd w:id="92"/>
      <w:bookmarkEnd w:id="93"/>
    </w:p>
    <w:p w14:paraId="5D99038E">
      <w:pPr>
        <w:pStyle w:val="41"/>
        <w:pBdr>
          <w:top w:val="single" w:color="auto" w:sz="4" w:space="1"/>
          <w:left w:val="single" w:color="auto" w:sz="4" w:space="4"/>
          <w:bottom w:val="single" w:color="auto" w:sz="4" w:space="1"/>
          <w:right w:val="single" w:color="auto" w:sz="4" w:space="4"/>
        </w:pBdr>
        <w:spacing w:line="400" w:lineRule="exact"/>
        <w:ind w:firstLine="482"/>
        <w:rPr>
          <w:rFonts w:hint="eastAsia" w:ascii="仿宋_GB2312" w:hAnsi="仿宋_GB2312" w:eastAsia="仿宋_GB2312" w:cs="仿宋_GB2312"/>
          <w:b/>
          <w:bCs/>
        </w:rPr>
      </w:pPr>
      <w:r>
        <w:rPr>
          <w:rFonts w:hint="eastAsia" w:ascii="仿宋_GB2312" w:hAnsi="仿宋_GB2312" w:eastAsia="仿宋_GB2312" w:cs="仿宋_GB2312"/>
          <w:b/>
          <w:bCs/>
        </w:rPr>
        <w:t>重点河湖生态保</w:t>
      </w:r>
      <w:r>
        <w:rPr>
          <w:rFonts w:hint="eastAsia" w:ascii="仿宋_GB2312" w:hAnsi="仿宋_GB2312" w:eastAsia="仿宋_GB2312" w:cs="仿宋_GB2312"/>
          <w:b/>
          <w:bCs/>
          <w:lang w:eastAsia="zh-CN"/>
        </w:rPr>
        <w:t>护和</w:t>
      </w:r>
      <w:r>
        <w:rPr>
          <w:rFonts w:hint="eastAsia" w:ascii="仿宋_GB2312" w:hAnsi="仿宋_GB2312" w:eastAsia="仿宋_GB2312" w:cs="仿宋_GB2312"/>
          <w:b/>
          <w:bCs/>
        </w:rPr>
        <w:t>修复</w:t>
      </w:r>
    </w:p>
    <w:p w14:paraId="3C3936D1">
      <w:pPr>
        <w:pStyle w:val="41"/>
        <w:pBdr>
          <w:top w:val="single" w:color="auto" w:sz="4" w:space="1"/>
          <w:left w:val="single" w:color="auto" w:sz="4" w:space="4"/>
          <w:bottom w:val="single" w:color="auto" w:sz="4" w:space="1"/>
          <w:right w:val="single" w:color="auto" w:sz="4" w:space="4"/>
        </w:pBdr>
        <w:spacing w:line="400" w:lineRule="exact"/>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加快推进</w:t>
      </w:r>
      <w:bookmarkStart w:id="94" w:name="_Hlk89853899"/>
      <w:r>
        <w:rPr>
          <w:rFonts w:hint="eastAsia" w:ascii="仿宋_GB2312" w:hAnsi="仿宋_GB2312" w:eastAsia="仿宋_GB2312" w:cs="仿宋_GB2312"/>
        </w:rPr>
        <w:t>金沙江流域西藏昌都段</w:t>
      </w:r>
      <w:bookmarkEnd w:id="94"/>
      <w:r>
        <w:rPr>
          <w:rFonts w:hint="eastAsia" w:ascii="仿宋_GB2312" w:hAnsi="仿宋_GB2312" w:eastAsia="仿宋_GB2312" w:cs="仿宋_GB2312"/>
        </w:rPr>
        <w:t>生态修复治理工程前期工作，总投资50.0亿元，其中“十四五”期间投资4000万元。</w:t>
      </w:r>
    </w:p>
    <w:p w14:paraId="75898C76">
      <w:pPr>
        <w:pStyle w:val="41"/>
        <w:pBdr>
          <w:top w:val="single" w:color="auto" w:sz="4" w:space="1"/>
          <w:left w:val="single" w:color="auto" w:sz="4" w:space="4"/>
          <w:bottom w:val="single" w:color="auto" w:sz="4" w:space="1"/>
          <w:right w:val="single" w:color="auto" w:sz="4" w:space="4"/>
        </w:pBdr>
        <w:spacing w:line="400" w:lineRule="exact"/>
        <w:ind w:firstLine="482"/>
        <w:rPr>
          <w:rFonts w:hint="eastAsia" w:ascii="仿宋_GB2312" w:hAnsi="仿宋_GB2312" w:eastAsia="仿宋_GB2312" w:cs="仿宋_GB2312"/>
          <w:b/>
          <w:bCs/>
        </w:rPr>
      </w:pPr>
      <w:r>
        <w:rPr>
          <w:rFonts w:hint="eastAsia" w:ascii="仿宋_GB2312" w:hAnsi="仿宋_GB2312" w:eastAsia="仿宋_GB2312" w:cs="仿宋_GB2312"/>
          <w:b/>
          <w:bCs/>
        </w:rPr>
        <w:t>水土保持建设</w:t>
      </w:r>
    </w:p>
    <w:p w14:paraId="541679BB">
      <w:pPr>
        <w:pStyle w:val="41"/>
        <w:pBdr>
          <w:top w:val="single" w:color="auto" w:sz="4" w:space="1"/>
          <w:left w:val="single" w:color="auto" w:sz="4" w:space="4"/>
          <w:bottom w:val="single" w:color="auto" w:sz="4" w:space="1"/>
          <w:right w:val="single" w:color="auto" w:sz="4" w:space="4"/>
        </w:pBdr>
        <w:spacing w:line="400" w:lineRule="exact"/>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实施类乌齐县类乌齐镇觉恩村水土流失综合治理工程、江达县雪巴沟生态产业示范园建设工程、江达县邓柯乡郎吉村水土流失治理工程、昌都市城市水土保持工程、昌都市易地扶贫搬迁安置区水土保持生态治理工程，总投资1.1亿元，“十四五”期间全部完成。</w:t>
      </w:r>
    </w:p>
    <w:p w14:paraId="74F96199">
      <w:pPr>
        <w:pStyle w:val="41"/>
        <w:pBdr>
          <w:top w:val="single" w:color="auto" w:sz="4" w:space="1"/>
          <w:left w:val="single" w:color="auto" w:sz="4" w:space="4"/>
          <w:bottom w:val="single" w:color="auto" w:sz="4" w:space="1"/>
          <w:right w:val="single" w:color="auto" w:sz="4" w:space="4"/>
        </w:pBdr>
        <w:spacing w:line="400" w:lineRule="exact"/>
        <w:ind w:firstLine="482"/>
        <w:rPr>
          <w:rFonts w:hint="eastAsia" w:ascii="仿宋_GB2312" w:hAnsi="仿宋_GB2312" w:eastAsia="仿宋_GB2312" w:cs="仿宋_GB2312"/>
          <w:b/>
          <w:bCs/>
        </w:rPr>
      </w:pPr>
      <w:r>
        <w:rPr>
          <w:rFonts w:hint="eastAsia" w:ascii="仿宋_GB2312" w:hAnsi="仿宋_GB2312" w:eastAsia="仿宋_GB2312" w:cs="仿宋_GB2312"/>
          <w:b/>
          <w:bCs/>
        </w:rPr>
        <w:t>水系连通及水美乡村建设</w:t>
      </w:r>
    </w:p>
    <w:p w14:paraId="7428257A">
      <w:pPr>
        <w:pStyle w:val="41"/>
        <w:pBdr>
          <w:top w:val="single" w:color="auto" w:sz="4" w:space="1"/>
          <w:left w:val="single" w:color="auto" w:sz="4" w:space="4"/>
          <w:bottom w:val="single" w:color="auto" w:sz="4" w:space="1"/>
          <w:right w:val="single" w:color="auto" w:sz="4" w:space="4"/>
        </w:pBdr>
        <w:spacing w:line="400" w:lineRule="exact"/>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在八宿县开展</w:t>
      </w:r>
      <w:bookmarkStart w:id="95" w:name="_Hlk89853412"/>
      <w:r>
        <w:rPr>
          <w:rFonts w:hint="eastAsia" w:ascii="仿宋_GB2312" w:hAnsi="仿宋_GB2312" w:eastAsia="仿宋_GB2312" w:cs="仿宋_GB2312"/>
        </w:rPr>
        <w:t>水系连通及水美乡村建设</w:t>
      </w:r>
      <w:bookmarkEnd w:id="95"/>
      <w:r>
        <w:rPr>
          <w:rFonts w:hint="eastAsia" w:ascii="仿宋_GB2312" w:hAnsi="仿宋_GB2312" w:eastAsia="仿宋_GB2312" w:cs="仿宋_GB2312"/>
        </w:rPr>
        <w:t>，总投资5720万元，“十四五”期间全部完成。</w:t>
      </w:r>
    </w:p>
    <w:p w14:paraId="715D7880">
      <w:pPr>
        <w:pStyle w:val="46"/>
        <w:sectPr>
          <w:pgSz w:w="11906" w:h="16838"/>
          <w:pgMar w:top="2098" w:right="1474" w:bottom="1984" w:left="1531" w:header="851" w:footer="992" w:gutter="0"/>
          <w:pgNumType w:fmt="decimal"/>
          <w:cols w:space="425" w:num="1"/>
          <w:docGrid w:type="lines" w:linePitch="312" w:charSpace="0"/>
        </w:sectPr>
      </w:pPr>
      <w:bookmarkStart w:id="96" w:name="_Toc114063698"/>
    </w:p>
    <w:p w14:paraId="4002F388">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r>
        <w:rPr>
          <w:sz w:val="32"/>
          <w:szCs w:val="48"/>
        </w:rPr>
        <w:t>五、加强水资源集约安全利用，提升水资源优化配置能力</w:t>
      </w:r>
      <w:bookmarkEnd w:id="96"/>
    </w:p>
    <w:p w14:paraId="3AFBE7B8">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立足流域整体和水资源优化配置，在充分节水的基础上，以骨干水源工程为重点</w:t>
      </w:r>
      <w:r>
        <w:rPr>
          <w:rFonts w:hint="eastAsia" w:ascii="仿宋_GB2312" w:hAnsi="仿宋_GB2312" w:eastAsia="仿宋_GB2312" w:cs="仿宋_GB2312"/>
          <w:lang w:eastAsia="zh-CN"/>
        </w:rPr>
        <w:t>、以</w:t>
      </w:r>
      <w:r>
        <w:rPr>
          <w:rFonts w:hint="eastAsia" w:ascii="仿宋_GB2312" w:hAnsi="仿宋_GB2312" w:eastAsia="仿宋_GB2312" w:cs="仿宋_GB2312"/>
        </w:rPr>
        <w:t>中小型水库为补充，以配套输水管线为脉络，加快形成城乡供水基础设施网络，提升水资源配置能力，提高城乡供水安全保障水平。</w:t>
      </w:r>
    </w:p>
    <w:p w14:paraId="5F0B3415">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97" w:name="_Toc78187448"/>
      <w:bookmarkStart w:id="98" w:name="_Toc78187597"/>
      <w:bookmarkStart w:id="99" w:name="_Toc114063699"/>
      <w:r>
        <w:rPr>
          <w:rFonts w:hint="eastAsia" w:ascii="楷体_GB2312" w:hAnsi="楷体_GB2312" w:eastAsia="楷体_GB2312" w:cs="楷体_GB2312"/>
          <w:b/>
          <w:bCs w:val="0"/>
          <w:sz w:val="32"/>
          <w:szCs w:val="36"/>
        </w:rPr>
        <w:t>（一）加强重点领域节水</w:t>
      </w:r>
      <w:bookmarkEnd w:id="97"/>
      <w:bookmarkEnd w:id="98"/>
      <w:bookmarkEnd w:id="99"/>
    </w:p>
    <w:p w14:paraId="608274B2">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坚持节水优先，大力推进节水减排，全面落实国家和西藏节水行动实施方案，围绕农业、工业和城镇等重点领域节水，加强水资源消耗总量和强度双控，全面提升水资源利用效率和效益。</w:t>
      </w:r>
    </w:p>
    <w:p w14:paraId="5451E9C9">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强化农业节水增效</w:t>
      </w:r>
      <w:r>
        <w:rPr>
          <w:rFonts w:hint="eastAsia" w:ascii="仿宋_GB2312" w:hAnsi="仿宋_GB2312" w:eastAsia="仿宋_GB2312" w:cs="仿宋_GB2312"/>
        </w:rPr>
        <w:t>。把农业节水作为主攻方向，配合有关部门，在有条件的地方积极推广喷灌、微灌、滴灌、低压管灌等技术；健全完善量水测水设施，加强农业用水精细化管理，降低农业水耗；结合高标准农田建设推进高效节水灌溉。</w:t>
      </w:r>
    </w:p>
    <w:p w14:paraId="2435D5C6">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加强城镇节水减损</w:t>
      </w:r>
      <w:r>
        <w:rPr>
          <w:rFonts w:hint="eastAsia" w:ascii="仿宋_GB2312" w:hAnsi="仿宋_GB2312" w:eastAsia="仿宋_GB2312" w:cs="仿宋_GB2312"/>
        </w:rPr>
        <w:t>。全面推进节水型城市建设，加快老化、漏损供水管网设施更新改造，加强城镇生活用水计量，推进学校、社区、机关等单位节水示范点建设。</w:t>
      </w:r>
    </w:p>
    <w:p w14:paraId="3CF0D98F">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推进工业节水减排</w:t>
      </w:r>
      <w:r>
        <w:rPr>
          <w:rFonts w:hint="eastAsia" w:ascii="仿宋_GB2312" w:hAnsi="仿宋_GB2312" w:eastAsia="仿宋_GB2312" w:cs="仿宋_GB2312"/>
        </w:rPr>
        <w:t>。配合有关部门，优化藏药、酿酒、农产品加工等高耗水行业产业结构，完善供用水计量体系和在线监测，大力推进工业节水改造，提高水循环利用率，严格控制新建、改建、扩建高耗水项目，新建企业和园区应在规划布局时统筹考虑，推动企业间的用水系统集成优化。</w:t>
      </w:r>
    </w:p>
    <w:p w14:paraId="332ADFE4">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2"/>
        </w:rPr>
      </w:pPr>
      <w:bookmarkStart w:id="100" w:name="_Toc114063700"/>
      <w:bookmarkStart w:id="101" w:name="_Toc78187449"/>
      <w:bookmarkStart w:id="102" w:name="_Toc78187598"/>
      <w:r>
        <w:rPr>
          <w:rFonts w:hint="eastAsia" w:ascii="楷体_GB2312" w:hAnsi="楷体_GB2312" w:eastAsia="楷体_GB2312" w:cs="楷体_GB2312"/>
          <w:b/>
          <w:bCs w:val="0"/>
          <w:sz w:val="32"/>
          <w:szCs w:val="32"/>
        </w:rPr>
        <w:t>（二）加快推进重点水源和灌区工程建设</w:t>
      </w:r>
      <w:bookmarkEnd w:id="100"/>
      <w:bookmarkEnd w:id="101"/>
      <w:bookmarkEnd w:id="102"/>
    </w:p>
    <w:p w14:paraId="0050A74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围绕提升经济社会发展核心区水资源调配能力和农业生产能力，加快推进大中小型水源工程、灌区及草场灌溉工程建设。</w:t>
      </w:r>
    </w:p>
    <w:p w14:paraId="3052A3CD">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推进重点水源工程建设</w:t>
      </w:r>
      <w:r>
        <w:rPr>
          <w:rFonts w:hint="eastAsia" w:ascii="仿宋_GB2312" w:hAnsi="仿宋_GB2312" w:eastAsia="仿宋_GB2312" w:cs="仿宋_GB2312"/>
        </w:rPr>
        <w:t>。在强化节水的前提下，在工程性缺水地区有序推进重点水源工程，不断增强区域水资源调配和供给能力。“十四五”期间，加快推进宗通卡水利枢纽工程、马曲河水库、念曲水库的前期工作，</w:t>
      </w:r>
      <w:bookmarkStart w:id="103" w:name="_Hlk89849722"/>
      <w:r>
        <w:rPr>
          <w:rFonts w:hint="eastAsia" w:ascii="仿宋_GB2312" w:hAnsi="仿宋_GB2312" w:eastAsia="仿宋_GB2312" w:cs="仿宋_GB2312"/>
        </w:rPr>
        <w:t>积极推进</w:t>
      </w:r>
      <w:bookmarkEnd w:id="103"/>
      <w:r>
        <w:rPr>
          <w:rFonts w:hint="eastAsia" w:ascii="仿宋_GB2312" w:hAnsi="仿宋_GB2312" w:eastAsia="仿宋_GB2312" w:cs="仿宋_GB2312"/>
        </w:rPr>
        <w:t>弄利措水库、旺西水库等中小型水库建设。</w:t>
      </w:r>
    </w:p>
    <w:p w14:paraId="57CF877F">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color w:val="FF0000"/>
        </w:rPr>
      </w:pPr>
      <w:r>
        <w:rPr>
          <w:rFonts w:hint="eastAsia" w:ascii="仿宋_GB2312" w:hAnsi="仿宋_GB2312" w:eastAsia="仿宋_GB2312" w:cs="仿宋_GB2312"/>
          <w:b/>
          <w:bCs/>
        </w:rPr>
        <w:t>推进灌区建设</w:t>
      </w:r>
      <w:r>
        <w:rPr>
          <w:rFonts w:hint="eastAsia" w:ascii="仿宋_GB2312" w:hAnsi="仿宋_GB2312" w:eastAsia="仿宋_GB2312" w:cs="仿宋_GB2312"/>
        </w:rPr>
        <w:t>。围绕乡村振兴战略，按照现代农业建设要求，在水土资源条件较好的地区，新建灌区工程，完善灌溉供水工程体系，切实提高灌溉供水保障能力，促进农业发展。“十四五”期间，加快推进八宿县弄利措水库吉达配套灌区工程、芒康县扎仓嘎水库嘎托配套灌区、八宿县弄利措水库白玛拉根配套灌区、芒康县木许乡木许灌区及八宿县同卡灌区前期工作，积极推进类乌齐县吉多乡灌区、八宿县同卡镇莫普灌区、洛隆县马利灌区、芒康县盐井灌区扎西永顶片区工程等重点灌区建设与节水增效工程建设。</w:t>
      </w:r>
    </w:p>
    <w:p w14:paraId="748A77B9">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推进牧区水利建设</w:t>
      </w:r>
      <w:r>
        <w:rPr>
          <w:rFonts w:hint="eastAsia" w:ascii="仿宋_GB2312" w:hAnsi="仿宋_GB2312" w:eastAsia="仿宋_GB2312" w:cs="仿宋_GB2312"/>
        </w:rPr>
        <w:t>。结合畜牧业发展需求，采取集中与分散相结合的方式，新建草场灌溉工程，完善草场灌溉供水工程体系，提高饲草料保障能力，保护天然草场，为草地资源的可持续利用和草原畜牧业的可持续发展提供基础保障。“十四五”期间，在贡觉县、芒康县、边坝县新建4个草场灌溉工程。</w:t>
      </w:r>
    </w:p>
    <w:p w14:paraId="4EAFC72B">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2"/>
        </w:rPr>
      </w:pPr>
      <w:bookmarkStart w:id="104" w:name="_Toc78187450"/>
      <w:bookmarkStart w:id="105" w:name="_Toc78187599"/>
      <w:bookmarkStart w:id="106" w:name="_Toc114063701"/>
      <w:r>
        <w:rPr>
          <w:rFonts w:hint="eastAsia" w:ascii="楷体_GB2312" w:hAnsi="楷体_GB2312" w:eastAsia="楷体_GB2312" w:cs="楷体_GB2312"/>
          <w:b/>
          <w:bCs w:val="0"/>
          <w:sz w:val="32"/>
          <w:szCs w:val="32"/>
        </w:rPr>
        <w:t>（三）优化城乡供水格局</w:t>
      </w:r>
      <w:bookmarkEnd w:id="104"/>
      <w:bookmarkEnd w:id="105"/>
      <w:bookmarkEnd w:id="106"/>
    </w:p>
    <w:p w14:paraId="369E15C0">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结合城乡区域协调发展和乡村振兴战略实施，着力优化城乡供水格局，提升城乡供水保障水平，让农牧民喝上放心水。</w:t>
      </w:r>
    </w:p>
    <w:p w14:paraId="66A4A2EC">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提高城镇供水保障能力</w:t>
      </w:r>
      <w:r>
        <w:rPr>
          <w:rFonts w:hint="eastAsia" w:ascii="仿宋_GB2312" w:hAnsi="仿宋_GB2312" w:eastAsia="仿宋_GB2312" w:cs="仿宋_GB2312"/>
        </w:rPr>
        <w:t>。按照“水量充足、水质安全、留有储备”的原则，加强城镇水源工程及其配套工程建设，逐步建立</w:t>
      </w:r>
      <w:r>
        <w:rPr>
          <w:rFonts w:hint="eastAsia" w:ascii="仿宋_GB2312" w:hAnsi="仿宋_GB2312" w:eastAsia="仿宋_GB2312" w:cs="仿宋_GB2312"/>
          <w:lang w:eastAsia="zh-CN"/>
        </w:rPr>
        <w:t>多元化</w:t>
      </w:r>
      <w:r>
        <w:rPr>
          <w:rFonts w:hint="eastAsia" w:ascii="仿宋_GB2312" w:hAnsi="仿宋_GB2312" w:eastAsia="仿宋_GB2312" w:cs="仿宋_GB2312"/>
        </w:rPr>
        <w:t>供水、全方位保障，建立多源互济，余缺互补的供水体系，保障供水安全。“十四五”期间，完成江达县县城水源地建设。</w:t>
      </w:r>
    </w:p>
    <w:p w14:paraId="2555A26E">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rPr>
        <w:t>推进农村供水工程规模化发展</w:t>
      </w:r>
      <w:r>
        <w:rPr>
          <w:rFonts w:hint="eastAsia" w:ascii="仿宋_GB2312" w:hAnsi="仿宋_GB2312" w:eastAsia="仿宋_GB2312" w:cs="仿宋_GB2312"/>
        </w:rPr>
        <w:t>。根据“建大、并中、减小”的工程建设原则，推进农村供水规模化和农村供水工程规范化改造，在人口适度集中区域，尽可能扩建、整合现有规模较小的集中供水工程，兴建规模较大的集中供水工程，实现规模化供水。对于不具备集中供水的地区，按照分散小型供水工程标准，因地制宜推进小型工程规范化建设和改造。</w:t>
      </w:r>
    </w:p>
    <w:p w14:paraId="41E24430">
      <w:pPr>
        <w:pStyle w:val="39"/>
        <w:jc w:val="both"/>
        <w:rPr>
          <w:rFonts w:ascii="Times New Roman" w:hAnsi="Times New Roman" w:cs="Times New Roman"/>
        </w:rPr>
      </w:pPr>
      <w:bookmarkStart w:id="107" w:name="_Toc78187600"/>
      <w:bookmarkStart w:id="108" w:name="_Toc113972155"/>
      <w:bookmarkStart w:id="109" w:name="_Toc114063702"/>
      <w:bookmarkStart w:id="110" w:name="_Toc78187451"/>
      <w:r>
        <w:rPr>
          <w:rFonts w:ascii="Times New Roman" w:hAnsi="Times New Roman" w:cs="Times New Roman"/>
        </w:rPr>
        <w:t>专栏3           供水保障能力建设工程</w:t>
      </w:r>
      <w:bookmarkEnd w:id="107"/>
      <w:bookmarkEnd w:id="108"/>
      <w:bookmarkEnd w:id="109"/>
      <w:bookmarkEnd w:id="110"/>
    </w:p>
    <w:p w14:paraId="4CED883D">
      <w:pPr>
        <w:pStyle w:val="41"/>
        <w:pBdr>
          <w:top w:val="single" w:color="auto" w:sz="4" w:space="1"/>
          <w:left w:val="single" w:color="auto" w:sz="4" w:space="4"/>
          <w:bottom w:val="single" w:color="auto" w:sz="4" w:space="1"/>
          <w:right w:val="single" w:color="auto" w:sz="4" w:space="4"/>
        </w:pBdr>
        <w:ind w:firstLine="482"/>
        <w:rPr>
          <w:rFonts w:hint="eastAsia" w:ascii="仿宋_GB2312" w:hAnsi="仿宋_GB2312" w:eastAsia="仿宋_GB2312" w:cs="仿宋_GB2312"/>
          <w:b/>
          <w:bCs/>
        </w:rPr>
      </w:pPr>
      <w:r>
        <w:rPr>
          <w:rFonts w:hint="eastAsia" w:ascii="仿宋_GB2312" w:hAnsi="仿宋_GB2312" w:eastAsia="仿宋_GB2312" w:cs="仿宋_GB2312"/>
          <w:b/>
          <w:bCs/>
        </w:rPr>
        <w:t>重点水源工程</w:t>
      </w:r>
    </w:p>
    <w:p w14:paraId="6BEDD595">
      <w:pPr>
        <w:pStyle w:val="41"/>
        <w:pBdr>
          <w:top w:val="single" w:color="auto" w:sz="4" w:space="1"/>
          <w:left w:val="single" w:color="auto" w:sz="4" w:space="4"/>
          <w:bottom w:val="single" w:color="auto" w:sz="4" w:space="1"/>
          <w:right w:val="single" w:color="auto" w:sz="4" w:space="4"/>
        </w:pBdr>
        <w:rPr>
          <w:rFonts w:hint="eastAsia" w:ascii="仿宋_GB2312" w:hAnsi="仿宋_GB2312" w:eastAsia="仿宋_GB2312" w:cs="仿宋_GB2312"/>
          <w:b/>
          <w:bCs/>
        </w:rPr>
      </w:pPr>
      <w:r>
        <w:rPr>
          <w:rFonts w:hint="eastAsia" w:ascii="黑体" w:hAnsi="黑体" w:eastAsia="黑体" w:cs="黑体"/>
          <w:lang w:eastAsia="zh-CN"/>
        </w:rPr>
        <w:t>——</w:t>
      </w:r>
      <w:r>
        <w:rPr>
          <w:rFonts w:hint="eastAsia" w:ascii="仿宋_GB2312" w:hAnsi="仿宋_GB2312" w:eastAsia="仿宋_GB2312" w:cs="仿宋_GB2312"/>
        </w:rPr>
        <w:t>加快推进宗通卡水利枢纽工程前期工作，适时开工建设，总投资</w:t>
      </w:r>
      <w:r>
        <w:rPr>
          <w:rFonts w:hint="eastAsia" w:ascii="仿宋_GB2312" w:hAnsi="仿宋_GB2312" w:eastAsia="仿宋_GB2312" w:cs="仿宋_GB2312"/>
          <w:lang w:val="en-US" w:eastAsia="zh-CN"/>
        </w:rPr>
        <w:t>53.4</w:t>
      </w:r>
      <w:r>
        <w:rPr>
          <w:rFonts w:hint="eastAsia" w:ascii="仿宋_GB2312" w:hAnsi="仿宋_GB2312" w:eastAsia="仿宋_GB2312" w:cs="仿宋_GB2312"/>
        </w:rPr>
        <w:t>亿元，其中“十四五”期间投资1亿元。</w:t>
      </w:r>
    </w:p>
    <w:p w14:paraId="57557106">
      <w:pPr>
        <w:pStyle w:val="41"/>
        <w:pBdr>
          <w:top w:val="single" w:color="auto" w:sz="4" w:space="1"/>
          <w:left w:val="single" w:color="auto" w:sz="4" w:space="4"/>
          <w:bottom w:val="single" w:color="auto" w:sz="4" w:space="1"/>
          <w:right w:val="single" w:color="auto" w:sz="4" w:space="4"/>
        </w:pBdr>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加快推进马曲河水库、念曲水库前期工作；继续推进弄利措水库建设，总投资6.4亿元，其中“十四五”期间投资4.9亿元。</w:t>
      </w:r>
    </w:p>
    <w:p w14:paraId="1FA77593">
      <w:pPr>
        <w:pStyle w:val="41"/>
        <w:pBdr>
          <w:top w:val="single" w:color="auto" w:sz="4" w:space="1"/>
          <w:left w:val="single" w:color="auto" w:sz="4" w:space="4"/>
          <w:bottom w:val="single" w:color="auto" w:sz="4" w:space="1"/>
          <w:right w:val="single" w:color="auto" w:sz="4" w:space="4"/>
        </w:pBdr>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积极推进洛隆县旺西水库建设，总投资1.9亿元，其中“十四五”期间投资0.6亿元。</w:t>
      </w:r>
    </w:p>
    <w:p w14:paraId="4FD0CD48">
      <w:pPr>
        <w:pStyle w:val="41"/>
        <w:pBdr>
          <w:top w:val="single" w:color="auto" w:sz="4" w:space="1"/>
          <w:left w:val="single" w:color="auto" w:sz="4" w:space="4"/>
          <w:bottom w:val="single" w:color="auto" w:sz="4" w:space="1"/>
          <w:right w:val="single" w:color="auto" w:sz="4" w:space="4"/>
        </w:pBdr>
        <w:ind w:firstLine="482"/>
        <w:rPr>
          <w:rFonts w:hint="eastAsia" w:ascii="仿宋_GB2312" w:hAnsi="仿宋_GB2312" w:eastAsia="仿宋_GB2312" w:cs="仿宋_GB2312"/>
          <w:b/>
          <w:bCs/>
        </w:rPr>
      </w:pPr>
      <w:r>
        <w:rPr>
          <w:rFonts w:hint="eastAsia" w:ascii="仿宋_GB2312" w:hAnsi="仿宋_GB2312" w:eastAsia="仿宋_GB2312" w:cs="仿宋_GB2312"/>
          <w:b/>
          <w:bCs/>
        </w:rPr>
        <w:t>重点灌区与节水增效工程</w:t>
      </w:r>
    </w:p>
    <w:p w14:paraId="2A2C4CC3">
      <w:pPr>
        <w:pStyle w:val="41"/>
        <w:pBdr>
          <w:top w:val="single" w:color="auto" w:sz="4" w:space="1"/>
          <w:left w:val="single" w:color="auto" w:sz="4" w:space="4"/>
          <w:bottom w:val="single" w:color="auto" w:sz="4" w:space="1"/>
          <w:right w:val="single" w:color="auto" w:sz="4" w:space="4"/>
        </w:pBdr>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加快推进八宿县弄利措水库吉达配套灌区工程、芒康县扎仓嘎水库嘎托配套灌区、八宿县弄利措水库白玛拉根配套灌区、芒康县木许乡木许灌区及八宿县同卡灌区前期工作；积极推进类乌齐县吉多乡灌区、八宿县同卡镇莫普灌区、洛隆县马利灌区、芒康县盐井灌区扎西永顶片区工程等重点灌区建设与节水增效工程建设，总投资1.5亿元，“十四五”期间全部完成。</w:t>
      </w:r>
    </w:p>
    <w:p w14:paraId="2FE54881">
      <w:pPr>
        <w:pStyle w:val="41"/>
        <w:pBdr>
          <w:top w:val="single" w:color="auto" w:sz="4" w:space="1"/>
          <w:left w:val="single" w:color="auto" w:sz="4" w:space="4"/>
          <w:bottom w:val="single" w:color="auto" w:sz="4" w:space="1"/>
          <w:right w:val="single" w:color="auto" w:sz="4" w:space="4"/>
        </w:pBdr>
        <w:ind w:firstLine="482"/>
        <w:rPr>
          <w:rFonts w:hint="eastAsia" w:ascii="仿宋_GB2312" w:hAnsi="仿宋_GB2312" w:eastAsia="仿宋_GB2312" w:cs="仿宋_GB2312"/>
          <w:b/>
          <w:bCs/>
        </w:rPr>
      </w:pPr>
      <w:r>
        <w:rPr>
          <w:rFonts w:hint="eastAsia" w:ascii="仿宋_GB2312" w:hAnsi="仿宋_GB2312" w:eastAsia="仿宋_GB2312" w:cs="仿宋_GB2312"/>
          <w:b/>
          <w:bCs/>
        </w:rPr>
        <w:t>草场灌溉工程</w:t>
      </w:r>
    </w:p>
    <w:p w14:paraId="24DF01AF">
      <w:pPr>
        <w:pStyle w:val="41"/>
        <w:pBdr>
          <w:top w:val="single" w:color="auto" w:sz="4" w:space="1"/>
          <w:left w:val="single" w:color="auto" w:sz="4" w:space="4"/>
          <w:bottom w:val="single" w:color="auto" w:sz="4" w:space="1"/>
          <w:right w:val="single" w:color="auto" w:sz="4" w:space="4"/>
        </w:pBdr>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实施贡觉县哈加乡巴拉饲草料地灌溉工程、芒康县昂多乡饲草料基地灌溉工程、边坝县拉孜乡森卡饲草地灌溉工程、贡觉县阿旺饲草地灌溉工程，总投资3460万元，其中“十四五”期间投资1730万元。</w:t>
      </w:r>
    </w:p>
    <w:p w14:paraId="16F7E62A">
      <w:pPr>
        <w:pStyle w:val="41"/>
        <w:pBdr>
          <w:top w:val="single" w:color="auto" w:sz="4" w:space="1"/>
          <w:left w:val="single" w:color="auto" w:sz="4" w:space="4"/>
          <w:bottom w:val="single" w:color="auto" w:sz="4" w:space="1"/>
          <w:right w:val="single" w:color="auto" w:sz="4" w:space="4"/>
        </w:pBdr>
        <w:ind w:firstLine="482"/>
        <w:rPr>
          <w:rFonts w:hint="eastAsia" w:ascii="仿宋_GB2312" w:hAnsi="仿宋_GB2312" w:eastAsia="仿宋_GB2312" w:cs="仿宋_GB2312"/>
          <w:b/>
          <w:bCs/>
        </w:rPr>
      </w:pPr>
      <w:r>
        <w:rPr>
          <w:rFonts w:hint="eastAsia" w:ascii="仿宋_GB2312" w:hAnsi="仿宋_GB2312" w:eastAsia="仿宋_GB2312" w:cs="仿宋_GB2312"/>
          <w:b/>
          <w:bCs/>
        </w:rPr>
        <w:t>城市饮用水源地工程</w:t>
      </w:r>
    </w:p>
    <w:p w14:paraId="350955D4">
      <w:pPr>
        <w:pStyle w:val="41"/>
        <w:pBdr>
          <w:top w:val="single" w:color="auto" w:sz="4" w:space="1"/>
          <w:left w:val="single" w:color="auto" w:sz="4" w:space="4"/>
          <w:bottom w:val="single" w:color="auto" w:sz="4" w:space="1"/>
          <w:right w:val="single" w:color="auto" w:sz="4" w:space="4"/>
        </w:pBdr>
        <w:rPr>
          <w:rFonts w:hint="eastAsia" w:ascii="仿宋_GB2312" w:hAnsi="仿宋_GB2312" w:eastAsia="仿宋_GB2312" w:cs="仿宋_GB2312"/>
        </w:rPr>
      </w:pPr>
      <w:r>
        <w:rPr>
          <w:rFonts w:hint="eastAsia" w:ascii="黑体" w:hAnsi="黑体" w:eastAsia="黑体" w:cs="黑体"/>
          <w:lang w:eastAsia="zh-CN"/>
        </w:rPr>
        <w:t>——</w:t>
      </w:r>
      <w:r>
        <w:rPr>
          <w:rFonts w:hint="eastAsia" w:ascii="仿宋_GB2312" w:hAnsi="仿宋_GB2312" w:eastAsia="仿宋_GB2312" w:cs="仿宋_GB2312"/>
        </w:rPr>
        <w:t>实施江达县县城水源地建设工程，总投资8000万元，其中“十四五”期间投资2000万元。</w:t>
      </w:r>
    </w:p>
    <w:p w14:paraId="41D70B48">
      <w:pPr>
        <w:pStyle w:val="46"/>
        <w:rPr>
          <w:rFonts w:hint="eastAsia" w:ascii="仿宋_GB2312" w:hAnsi="仿宋_GB2312" w:eastAsia="仿宋_GB2312" w:cs="仿宋_GB2312"/>
        </w:rPr>
        <w:sectPr>
          <w:pgSz w:w="11906" w:h="16838"/>
          <w:pgMar w:top="2098" w:right="1474" w:bottom="1984" w:left="1531" w:header="851" w:footer="992" w:gutter="0"/>
          <w:pgNumType w:fmt="decimal"/>
          <w:cols w:space="425" w:num="1"/>
          <w:docGrid w:type="lines" w:linePitch="312" w:charSpace="0"/>
        </w:sectPr>
      </w:pPr>
      <w:bookmarkStart w:id="111" w:name="_Toc114063703"/>
    </w:p>
    <w:p w14:paraId="49CE0419">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r>
        <w:rPr>
          <w:sz w:val="32"/>
          <w:szCs w:val="48"/>
        </w:rPr>
        <w:t>六、提升水利信息化水平，推动智慧水利建设</w:t>
      </w:r>
      <w:bookmarkEnd w:id="111"/>
    </w:p>
    <w:p w14:paraId="650C884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以实现昌都市水利智能化管理为目标，以大数据、互联网、云计算、人工智能等新技术为驱动，以感知网、信息网、大数据中心、业务应用提升系统建设为抓手，按照“强感知、增智慧”的思路，加快智慧水利建设，补齐水利信息化短板，增强水利信息感知、分析、处理和智慧应用能力，支撑行业强监管，以水利信息化带动水利现代化。</w:t>
      </w:r>
    </w:p>
    <w:p w14:paraId="6F196069">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val="0"/>
          <w:bCs/>
          <w:sz w:val="32"/>
          <w:szCs w:val="36"/>
        </w:rPr>
      </w:pPr>
      <w:bookmarkStart w:id="112" w:name="_Toc114063704"/>
      <w:r>
        <w:rPr>
          <w:rFonts w:hint="eastAsia" w:ascii="楷体_GB2312" w:hAnsi="楷体_GB2312" w:eastAsia="楷体_GB2312" w:cs="楷体_GB2312"/>
          <w:b/>
          <w:bCs w:val="0"/>
          <w:sz w:val="32"/>
          <w:szCs w:val="36"/>
        </w:rPr>
        <w:t>（一）加强监测网络体系建设</w:t>
      </w:r>
      <w:bookmarkEnd w:id="112"/>
    </w:p>
    <w:p w14:paraId="5F6E9A3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扩大江河湖泊、水利工程、水利管理活动等实时在线监测范围，加大各类站点监测密度，加强卫星、雷达、无人机、遥感等监测手段的应用，升级改造现有监测感知设备，重点补充完善水文、水环境、水生态、水土流失、工程安全、防洪、水利管理活动等领域采集内容，扩建监测站点，逐步构建覆盖河湖水系、水利工程、水利管理活动的天空地一体化监测感知网，提升水利感知智能水平。</w:t>
      </w:r>
    </w:p>
    <w:p w14:paraId="757012B7">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13" w:name="_Toc114063705"/>
      <w:r>
        <w:rPr>
          <w:rFonts w:hint="eastAsia" w:ascii="楷体_GB2312" w:hAnsi="楷体_GB2312" w:eastAsia="楷体_GB2312" w:cs="楷体_GB2312"/>
          <w:b/>
          <w:bCs w:val="0"/>
          <w:sz w:val="32"/>
          <w:szCs w:val="36"/>
        </w:rPr>
        <w:t>（二）完善水利信息网络基础设施</w:t>
      </w:r>
      <w:bookmarkEnd w:id="113"/>
    </w:p>
    <w:p w14:paraId="6F527E5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加快现有水利业务骨干网提速改造，提升水利对外互联网出口带宽，合理利用物联网、卫星通信等新技术手段，全力打造高速、灵活、安全、实用的新一代信息骨干网络，加快建成泛在互联的智能水利信息网。</w:t>
      </w:r>
    </w:p>
    <w:p w14:paraId="1FD15CC9">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14" w:name="_Toc78187467"/>
      <w:bookmarkStart w:id="115" w:name="_Toc78187616"/>
      <w:bookmarkStart w:id="116" w:name="_Toc114063706"/>
      <w:r>
        <w:rPr>
          <w:rFonts w:hint="eastAsia" w:ascii="楷体_GB2312" w:hAnsi="楷体_GB2312" w:eastAsia="楷体_GB2312" w:cs="楷体_GB2312"/>
          <w:b/>
          <w:bCs w:val="0"/>
          <w:sz w:val="32"/>
          <w:szCs w:val="36"/>
        </w:rPr>
        <w:t>（三）</w:t>
      </w:r>
      <w:bookmarkEnd w:id="114"/>
      <w:bookmarkEnd w:id="115"/>
      <w:r>
        <w:rPr>
          <w:rFonts w:hint="eastAsia" w:ascii="楷体_GB2312" w:hAnsi="楷体_GB2312" w:eastAsia="楷体_GB2312" w:cs="楷体_GB2312"/>
          <w:b/>
          <w:bCs w:val="0"/>
          <w:sz w:val="32"/>
          <w:szCs w:val="36"/>
        </w:rPr>
        <w:t>建设水利大数据中心和平台</w:t>
      </w:r>
      <w:bookmarkEnd w:id="116"/>
    </w:p>
    <w:p w14:paraId="57C50FC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争取推动构建昌都市水利大数据中心和综合平台建设。积极推进市县（区）两级水利数据中心和云平台建设，建立统一数据标准，汇集多源数据，构建数据资源池，提升水利大数据分析处理能力和共享服务水平。充分应用深度挖掘、机器学习、知识图谱等技术，建设智慧智能平台和应用支撑平台，实现多元化、精细化和个性化管理。</w:t>
      </w:r>
    </w:p>
    <w:p w14:paraId="6105C265">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17" w:name="_Toc78187468"/>
      <w:bookmarkStart w:id="118" w:name="_Toc78187617"/>
      <w:bookmarkStart w:id="119" w:name="_Toc114063707"/>
      <w:r>
        <w:rPr>
          <w:rFonts w:hint="eastAsia" w:ascii="楷体_GB2312" w:hAnsi="楷体_GB2312" w:eastAsia="楷体_GB2312" w:cs="楷体_GB2312"/>
          <w:b/>
          <w:bCs w:val="0"/>
          <w:sz w:val="32"/>
          <w:szCs w:val="36"/>
        </w:rPr>
        <w:t>（四）</w:t>
      </w:r>
      <w:bookmarkEnd w:id="117"/>
      <w:bookmarkEnd w:id="118"/>
      <w:r>
        <w:rPr>
          <w:rFonts w:hint="eastAsia" w:ascii="楷体_GB2312" w:hAnsi="楷体_GB2312" w:eastAsia="楷体_GB2312" w:cs="楷体_GB2312"/>
          <w:b/>
          <w:bCs w:val="0"/>
          <w:sz w:val="32"/>
          <w:szCs w:val="36"/>
        </w:rPr>
        <w:t>加强水利业务协同应用</w:t>
      </w:r>
      <w:bookmarkEnd w:id="119"/>
    </w:p>
    <w:p w14:paraId="08635F4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构建涵盖水资源、水生态、水环境、水灾害、水工程、水监督、水行政</w:t>
      </w:r>
      <w:r>
        <w:rPr>
          <w:rFonts w:hint="eastAsia" w:ascii="仿宋_GB2312" w:hAnsi="仿宋_GB2312" w:eastAsia="仿宋_GB2312" w:cs="仿宋_GB2312"/>
          <w:lang w:eastAsia="zh-CN"/>
        </w:rPr>
        <w:t>、</w:t>
      </w:r>
      <w:r>
        <w:rPr>
          <w:rFonts w:hint="eastAsia" w:ascii="仿宋_GB2312" w:hAnsi="仿宋_GB2312" w:eastAsia="仿宋_GB2312" w:cs="仿宋_GB2312"/>
        </w:rPr>
        <w:t>水公共服务等核心业务的水利智能应用系统，推进水利工程管理新技术应用，优化水利工程常规、应急调度，完善工程智能控制系统，全面提升水利业务的精</w:t>
      </w:r>
      <w:r>
        <w:rPr>
          <w:rFonts w:hint="eastAsia" w:ascii="仿宋_GB2312" w:hAnsi="仿宋_GB2312" w:eastAsia="仿宋_GB2312" w:cs="仿宋_GB2312"/>
          <w:lang w:eastAsia="zh-CN"/>
        </w:rPr>
        <w:t>细化</w:t>
      </w:r>
      <w:r>
        <w:rPr>
          <w:rFonts w:hint="eastAsia" w:ascii="仿宋_GB2312" w:hAnsi="仿宋_GB2312" w:eastAsia="仿宋_GB2312" w:cs="仿宋_GB2312"/>
        </w:rPr>
        <w:t>管理、预测预报、分析评价与决策支持能力。</w:t>
      </w:r>
    </w:p>
    <w:p w14:paraId="5FFAA83F">
      <w:pPr>
        <w:pStyle w:val="27"/>
        <w:pageBreakBefore w:val="0"/>
        <w:widowControl w:val="0"/>
        <w:kinsoku/>
        <w:wordWrap/>
        <w:overflowPunct/>
        <w:topLinePunct w:val="0"/>
        <w:autoSpaceDE/>
        <w:autoSpaceDN/>
        <w:bidi w:val="0"/>
        <w:spacing w:line="576" w:lineRule="exact"/>
        <w:ind w:firstLine="640" w:firstLineChars="200"/>
        <w:textAlignment w:val="auto"/>
        <w:rPr>
          <w:rFonts w:cs="Times New Roman"/>
        </w:rPr>
        <w:sectPr>
          <w:pgSz w:w="11906" w:h="16838"/>
          <w:pgMar w:top="2098" w:right="1474" w:bottom="1984" w:left="1531" w:header="851" w:footer="992" w:gutter="0"/>
          <w:pgNumType w:fmt="decimal"/>
          <w:cols w:space="425" w:num="1"/>
          <w:docGrid w:type="lines" w:linePitch="312" w:charSpace="0"/>
        </w:sectPr>
      </w:pPr>
    </w:p>
    <w:p w14:paraId="08C70C6C">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bookmarkStart w:id="120" w:name="_Toc114063708"/>
      <w:r>
        <w:rPr>
          <w:sz w:val="32"/>
          <w:szCs w:val="48"/>
        </w:rPr>
        <w:t>七、加强水利重点领域改革，提高水利创新发展能力</w:t>
      </w:r>
      <w:bookmarkEnd w:id="120"/>
    </w:p>
    <w:p w14:paraId="7EEA9B9D">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针对水治理体制机制不健全、不完善的主要制约因素，按照“激活力、利长远”的思路，推动水利重点领域和关键环节改革，逐步破解水利改革发展瓶颈。</w:t>
      </w:r>
    </w:p>
    <w:p w14:paraId="1E6B81E6">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21" w:name="_Toc114063709"/>
      <w:r>
        <w:rPr>
          <w:rFonts w:hint="eastAsia" w:ascii="楷体_GB2312" w:hAnsi="楷体_GB2312" w:eastAsia="楷体_GB2312" w:cs="楷体_GB2312"/>
          <w:b/>
          <w:bCs w:val="0"/>
          <w:sz w:val="32"/>
          <w:szCs w:val="36"/>
        </w:rPr>
        <w:t>（一）深化价税改革</w:t>
      </w:r>
      <w:bookmarkEnd w:id="121"/>
    </w:p>
    <w:p w14:paraId="1F5616E8">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22" w:name="_Toc113972163"/>
      <w:bookmarkStart w:id="123" w:name="_Toc114063710"/>
      <w:bookmarkStart w:id="124" w:name="_Toc78187640"/>
      <w:bookmarkStart w:id="125" w:name="_Toc78187491"/>
      <w:r>
        <w:rPr>
          <w:rFonts w:hint="eastAsia" w:ascii="仿宋_GB2312" w:hAnsi="仿宋_GB2312" w:eastAsia="仿宋_GB2312" w:cs="仿宋_GB2312"/>
          <w:sz w:val="32"/>
          <w:szCs w:val="36"/>
        </w:rPr>
        <w:t>1</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推进水价改革</w:t>
      </w:r>
      <w:bookmarkEnd w:id="122"/>
      <w:bookmarkEnd w:id="123"/>
      <w:bookmarkEnd w:id="124"/>
      <w:bookmarkEnd w:id="125"/>
    </w:p>
    <w:p w14:paraId="1D2A43B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持续推进农业水价综合改革，推进骨干灌排工程和用水计量设施建设，全面落实农业用水总量控制和定额管理，逐步完善“定额内用水优惠水价、超定额用水累进加价”的农业用水机制，建立可持续的精准补贴和节水奖励机制。</w:t>
      </w:r>
    </w:p>
    <w:p w14:paraId="0BE459B4">
      <w:pPr>
        <w:pStyle w:val="27"/>
        <w:pageBreakBefore w:val="0"/>
        <w:widowControl w:val="0"/>
        <w:kinsoku/>
        <w:wordWrap/>
        <w:overflowPunct/>
        <w:topLinePunct w:val="0"/>
        <w:autoSpaceDE/>
        <w:autoSpaceDN/>
        <w:bidi w:val="0"/>
        <w:spacing w:line="576" w:lineRule="exact"/>
        <w:ind w:firstLine="640" w:firstLineChars="200"/>
        <w:textAlignment w:val="auto"/>
        <w:rPr>
          <w:rFonts w:cs="Times New Roman"/>
        </w:rPr>
      </w:pPr>
      <w:r>
        <w:rPr>
          <w:rFonts w:hint="eastAsia" w:ascii="仿宋_GB2312" w:hAnsi="仿宋_GB2312" w:eastAsia="仿宋_GB2312" w:cs="仿宋_GB2312"/>
        </w:rPr>
        <w:t>建立健全</w:t>
      </w:r>
      <w:r>
        <w:rPr>
          <w:rFonts w:hint="eastAsia" w:ascii="仿宋_GB2312" w:hAnsi="仿宋_GB2312" w:eastAsia="仿宋_GB2312" w:cs="仿宋_GB2312"/>
          <w:lang w:eastAsia="zh-CN"/>
        </w:rPr>
        <w:t>充分反映</w:t>
      </w:r>
      <w:r>
        <w:rPr>
          <w:rFonts w:hint="eastAsia" w:ascii="仿宋_GB2312" w:hAnsi="仿宋_GB2312" w:eastAsia="仿宋_GB2312" w:cs="仿宋_GB2312"/>
        </w:rPr>
        <w:t>供水成本、促进节约用水的城镇供水价格形成机制和动态调整机制，推动</w:t>
      </w:r>
      <w:r>
        <w:rPr>
          <w:rFonts w:hint="eastAsia" w:ascii="仿宋_GB2312" w:hAnsi="仿宋_GB2312" w:eastAsia="仿宋_GB2312" w:cs="仿宋_GB2312"/>
          <w:lang w:eastAsia="zh-CN"/>
        </w:rPr>
        <w:t>建立</w:t>
      </w:r>
      <w:r>
        <w:rPr>
          <w:rFonts w:hint="eastAsia" w:ascii="仿宋_GB2312" w:hAnsi="仿宋_GB2312" w:eastAsia="仿宋_GB2312" w:cs="仿宋_GB2312"/>
        </w:rPr>
        <w:t>公共供水管网覆盖范围内的城镇居民阶梯水价和非居民用水超计划、超定额累进加价制度。</w:t>
      </w:r>
    </w:p>
    <w:p w14:paraId="22B9AC8B">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26" w:name="_Toc78187492"/>
      <w:bookmarkStart w:id="127" w:name="_Toc78187641"/>
      <w:bookmarkStart w:id="128" w:name="_Toc113972164"/>
      <w:bookmarkStart w:id="129" w:name="_Toc114063711"/>
      <w:r>
        <w:rPr>
          <w:rFonts w:hint="eastAsia" w:ascii="仿宋_GB2312" w:hAnsi="仿宋_GB2312" w:eastAsia="仿宋_GB2312" w:cs="仿宋_GB2312"/>
          <w:sz w:val="32"/>
          <w:szCs w:val="36"/>
        </w:rPr>
        <w:t>2</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探索开展水资源费改税</w:t>
      </w:r>
      <w:bookmarkEnd w:id="126"/>
      <w:bookmarkEnd w:id="127"/>
      <w:bookmarkEnd w:id="128"/>
      <w:bookmarkEnd w:id="129"/>
    </w:p>
    <w:p w14:paraId="110025C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按照西藏水资源税改革整体部署和要求，适时配合有关部门开展昌都水资源税改革有关工作，探索建立合理的水资源税制度体系，科学设置差别税率体系，对高耗水行业、超计划用水地区</w:t>
      </w:r>
      <w:r>
        <w:rPr>
          <w:rFonts w:hint="eastAsia" w:ascii="仿宋_GB2312" w:hAnsi="仿宋_GB2312" w:eastAsia="仿宋_GB2312" w:cs="仿宋_GB2312"/>
          <w:lang w:eastAsia="zh-CN"/>
        </w:rPr>
        <w:t>、</w:t>
      </w:r>
      <w:r>
        <w:rPr>
          <w:rFonts w:hint="eastAsia" w:ascii="仿宋_GB2312" w:hAnsi="仿宋_GB2312" w:eastAsia="仿宋_GB2312" w:cs="仿宋_GB2312"/>
        </w:rPr>
        <w:t>超定额标准地区，适当提高税额标准，促进水资源的有偿使用和节约使用。</w:t>
      </w:r>
    </w:p>
    <w:p w14:paraId="5A68B430">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30" w:name="_Toc114063712"/>
      <w:bookmarkStart w:id="131" w:name="_Toc113972165"/>
      <w:r>
        <w:rPr>
          <w:rFonts w:hint="eastAsia" w:ascii="仿宋_GB2312" w:hAnsi="仿宋_GB2312" w:eastAsia="仿宋_GB2312" w:cs="仿宋_GB2312"/>
          <w:sz w:val="32"/>
          <w:szCs w:val="36"/>
        </w:rPr>
        <w:t>3</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探索建立水生态保护补偿机制</w:t>
      </w:r>
      <w:bookmarkEnd w:id="130"/>
      <w:bookmarkEnd w:id="131"/>
    </w:p>
    <w:p w14:paraId="0A7B4246">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积极探索，建立符合国家政策、突出昌都特色的多维多元长效的水生态保护补偿机制，科学确定补偿主体与受偿对象，合理确定补偿标准。探索采取财政转移支付、成立专项基金、资金投入、优惠政策、产业扶持、提供就业项目支持、人才培养、税费附加等多种方式进行补偿。</w:t>
      </w:r>
    </w:p>
    <w:p w14:paraId="7E88A465">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32" w:name="_Toc114063713"/>
      <w:r>
        <w:rPr>
          <w:rFonts w:hint="eastAsia" w:ascii="楷体_GB2312" w:hAnsi="楷体_GB2312" w:eastAsia="楷体_GB2312" w:cs="楷体_GB2312"/>
          <w:b/>
          <w:bCs w:val="0"/>
          <w:sz w:val="32"/>
          <w:szCs w:val="36"/>
        </w:rPr>
        <w:t>（</w:t>
      </w:r>
      <w:r>
        <w:rPr>
          <w:rFonts w:hint="eastAsia" w:ascii="楷体_GB2312" w:hAnsi="楷体_GB2312" w:eastAsia="楷体_GB2312" w:cs="楷体_GB2312"/>
          <w:b/>
          <w:bCs w:val="0"/>
          <w:sz w:val="32"/>
          <w:szCs w:val="36"/>
          <w:lang w:eastAsia="zh-CN"/>
        </w:rPr>
        <w:t>二</w:t>
      </w:r>
      <w:r>
        <w:rPr>
          <w:rFonts w:hint="eastAsia" w:ascii="楷体_GB2312" w:hAnsi="楷体_GB2312" w:eastAsia="楷体_GB2312" w:cs="楷体_GB2312"/>
          <w:b/>
          <w:bCs w:val="0"/>
          <w:sz w:val="32"/>
          <w:szCs w:val="36"/>
        </w:rPr>
        <w:t>）推进水利工程管理改革</w:t>
      </w:r>
      <w:bookmarkEnd w:id="132"/>
    </w:p>
    <w:p w14:paraId="14368AA5">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33" w:name="_Toc78187494"/>
      <w:bookmarkStart w:id="134" w:name="_Toc114063714"/>
      <w:bookmarkStart w:id="135" w:name="_Toc78187643"/>
      <w:bookmarkStart w:id="136" w:name="_Toc113972167"/>
      <w:r>
        <w:rPr>
          <w:rFonts w:hint="eastAsia" w:ascii="仿宋_GB2312" w:hAnsi="仿宋_GB2312" w:eastAsia="仿宋_GB2312" w:cs="仿宋_GB2312"/>
          <w:sz w:val="32"/>
          <w:szCs w:val="36"/>
        </w:rPr>
        <w:t>1</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推动水利工程划界</w:t>
      </w:r>
      <w:bookmarkEnd w:id="133"/>
      <w:bookmarkEnd w:id="134"/>
      <w:bookmarkEnd w:id="135"/>
      <w:bookmarkEnd w:id="136"/>
    </w:p>
    <w:p w14:paraId="3DD2177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抓住全面推行河长制、湖长制的有利机遇，把水利工程管理和保护范围划定与河湖管理范围划定有机结合，逐步推进水利工程划界工作。已划定管理范围和保护范围的水利工程，要明确管理界线、管理单位和管理要求，并向社会公布。对于规划水利工程，要预留管理范围和保护范围。</w:t>
      </w:r>
    </w:p>
    <w:p w14:paraId="2C05F3EF">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37" w:name="_Toc78187496"/>
      <w:bookmarkStart w:id="138" w:name="_Toc113972168"/>
      <w:bookmarkStart w:id="139" w:name="_Toc78187645"/>
      <w:bookmarkStart w:id="140" w:name="_Toc114063715"/>
      <w:r>
        <w:rPr>
          <w:rFonts w:hint="eastAsia" w:ascii="仿宋_GB2312" w:hAnsi="仿宋_GB2312" w:eastAsia="仿宋_GB2312" w:cs="仿宋_GB2312"/>
          <w:sz w:val="32"/>
          <w:szCs w:val="36"/>
        </w:rPr>
        <w:t>2</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提高工程管理效能</w:t>
      </w:r>
      <w:bookmarkEnd w:id="137"/>
      <w:bookmarkEnd w:id="138"/>
      <w:bookmarkEnd w:id="139"/>
      <w:bookmarkEnd w:id="140"/>
    </w:p>
    <w:p w14:paraId="58D5533E">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以确保水利工程安全运行和效益发挥为出发点，全面推进水利工程管养分离，逐步建立工程良性运行长效机制。在确保工程安全、公益属性和生态保护的前提下，针对不同类型工程特点，因地制宜采取专业化集中管理、社会化管理等多种管护方式。探索“以大带小、小小联合”的水利工程集中管理模式，促进工程良性运行；推行水利工程企业化、物业化管理，通过政府购买服务方式开展工程维修养护。</w:t>
      </w:r>
    </w:p>
    <w:p w14:paraId="0E8B031E">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41" w:name="_Toc114063716"/>
      <w:r>
        <w:rPr>
          <w:rFonts w:hint="eastAsia" w:ascii="楷体_GB2312" w:hAnsi="楷体_GB2312" w:eastAsia="楷体_GB2312" w:cs="楷体_GB2312"/>
          <w:b/>
          <w:bCs w:val="0"/>
          <w:sz w:val="32"/>
          <w:szCs w:val="36"/>
        </w:rPr>
        <w:t>（三）深化水利投融资机制改革</w:t>
      </w:r>
      <w:bookmarkEnd w:id="141"/>
    </w:p>
    <w:p w14:paraId="19290B60">
      <w:pPr>
        <w:pStyle w:val="46"/>
        <w:pageBreakBefore w:val="0"/>
        <w:widowControl w:val="0"/>
        <w:kinsoku/>
        <w:wordWrap/>
        <w:overflowPunct/>
        <w:topLinePunct w:val="0"/>
        <w:autoSpaceDE/>
        <w:autoSpaceDN/>
        <w:bidi w:val="0"/>
        <w:spacing w:line="576" w:lineRule="exact"/>
        <w:ind w:firstLine="640" w:firstLineChars="200"/>
        <w:textAlignment w:val="auto"/>
      </w:pPr>
      <w:bookmarkStart w:id="142" w:name="_Toc78187498"/>
      <w:bookmarkStart w:id="143" w:name="_Toc78187647"/>
      <w:r>
        <w:t>坚持政府主导、社会协同的原则，加大公共财政对水利投入，加大金融支持力度，鼓励和吸引社会资本，探索形成政府投入为主导，多元化、多渠道、多层次的水利投入稳定增长机制，保障水利建设资金需求。</w:t>
      </w:r>
    </w:p>
    <w:p w14:paraId="1AF554CF">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44" w:name="_Toc114063717"/>
      <w:bookmarkStart w:id="145" w:name="_Toc113972170"/>
      <w:r>
        <w:rPr>
          <w:rFonts w:hint="eastAsia" w:ascii="仿宋_GB2312" w:hAnsi="仿宋_GB2312" w:eastAsia="仿宋_GB2312" w:cs="仿宋_GB2312"/>
          <w:sz w:val="32"/>
          <w:szCs w:val="36"/>
        </w:rPr>
        <w:t>1</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稳定政府投资</w:t>
      </w:r>
      <w:bookmarkEnd w:id="142"/>
      <w:bookmarkEnd w:id="143"/>
      <w:bookmarkEnd w:id="144"/>
      <w:bookmarkEnd w:id="145"/>
    </w:p>
    <w:p w14:paraId="6989361A">
      <w:pPr>
        <w:pStyle w:val="46"/>
        <w:pageBreakBefore w:val="0"/>
        <w:widowControl w:val="0"/>
        <w:kinsoku/>
        <w:wordWrap/>
        <w:overflowPunct/>
        <w:topLinePunct w:val="0"/>
        <w:autoSpaceDE/>
        <w:autoSpaceDN/>
        <w:bidi w:val="0"/>
        <w:spacing w:line="576" w:lineRule="exact"/>
        <w:ind w:firstLine="640" w:firstLineChars="200"/>
        <w:textAlignment w:val="auto"/>
      </w:pPr>
      <w:r>
        <w:t>稳定公共财政投入规模，积极争取国家预算内基本建设资金和国家财政资金，优化项目安排和投资结构，优先保障重大水利工程投资。合理界定各级政府的支出责任，逐步完善分级负责的共同投入机制，逐步提高地方财政支出中用于水利工程建设的资金比例。</w:t>
      </w:r>
      <w:r>
        <w:rPr>
          <w:rFonts w:hint="eastAsia"/>
          <w:lang w:val="en-US" w:eastAsia="zh-CN"/>
        </w:rPr>
        <w:t>加强</w:t>
      </w:r>
      <w:r>
        <w:t>与财政等部门沟通，积极落实地方政府专项债券，加大地方政府债券向水利倾斜力度。</w:t>
      </w:r>
    </w:p>
    <w:p w14:paraId="58A3027B">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46" w:name="_Toc78187499"/>
      <w:bookmarkStart w:id="147" w:name="_Toc113972171"/>
      <w:bookmarkStart w:id="148" w:name="_Toc114063718"/>
      <w:bookmarkStart w:id="149" w:name="_Toc78187648"/>
      <w:r>
        <w:rPr>
          <w:rFonts w:hint="eastAsia" w:ascii="仿宋_GB2312" w:hAnsi="仿宋_GB2312" w:eastAsia="仿宋_GB2312" w:cs="仿宋_GB2312"/>
          <w:sz w:val="32"/>
          <w:szCs w:val="36"/>
        </w:rPr>
        <w:t>2</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吸引社会资本</w:t>
      </w:r>
      <w:bookmarkEnd w:id="146"/>
      <w:bookmarkEnd w:id="147"/>
      <w:bookmarkEnd w:id="148"/>
      <w:bookmarkEnd w:id="149"/>
    </w:p>
    <w:p w14:paraId="32836BB4">
      <w:pPr>
        <w:pStyle w:val="46"/>
        <w:pageBreakBefore w:val="0"/>
        <w:widowControl w:val="0"/>
        <w:kinsoku/>
        <w:wordWrap/>
        <w:overflowPunct/>
        <w:topLinePunct w:val="0"/>
        <w:autoSpaceDE/>
        <w:autoSpaceDN/>
        <w:bidi w:val="0"/>
        <w:spacing w:line="576" w:lineRule="exact"/>
        <w:ind w:firstLine="640" w:firstLineChars="200"/>
        <w:textAlignment w:val="auto"/>
      </w:pPr>
      <w:r>
        <w:t>深化政府和社会资本合作，鼓励和引导社会资本参与水治理，扩展社会资本投入范围。建立以政府投入为主导、企业投入和社会融资为补充的水利投融资体制。支持社会资本采取股权合作、股权认购、政府与社会资本合作</w:t>
      </w:r>
      <w:r>
        <w:rPr>
          <w:rFonts w:hint="eastAsia"/>
          <w:lang w:eastAsia="zh-CN"/>
        </w:rPr>
        <w:t>（</w:t>
      </w:r>
      <w:r>
        <w:t>PPP</w:t>
      </w:r>
      <w:r>
        <w:rPr>
          <w:rFonts w:hint="eastAsia"/>
          <w:lang w:eastAsia="zh-CN"/>
        </w:rPr>
        <w:t>）</w:t>
      </w:r>
      <w:r>
        <w:t>、资产收购等方式参与水利工程建设运营。</w:t>
      </w:r>
    </w:p>
    <w:p w14:paraId="78613A6E">
      <w:pPr>
        <w:pStyle w:val="27"/>
        <w:pageBreakBefore w:val="0"/>
        <w:widowControl w:val="0"/>
        <w:kinsoku/>
        <w:wordWrap/>
        <w:overflowPunct/>
        <w:topLinePunct w:val="0"/>
        <w:autoSpaceDE/>
        <w:autoSpaceDN/>
        <w:bidi w:val="0"/>
        <w:spacing w:line="576" w:lineRule="exact"/>
        <w:ind w:firstLine="640" w:firstLineChars="200"/>
        <w:textAlignment w:val="auto"/>
        <w:rPr>
          <w:rFonts w:cs="Times New Roman"/>
        </w:rPr>
        <w:sectPr>
          <w:pgSz w:w="11906" w:h="16838"/>
          <w:pgMar w:top="2098" w:right="1474" w:bottom="1984" w:left="1531" w:header="851" w:footer="992" w:gutter="0"/>
          <w:pgNumType w:fmt="decimal"/>
          <w:cols w:space="425" w:num="1"/>
          <w:docGrid w:type="lines" w:linePitch="312" w:charSpace="0"/>
        </w:sectPr>
      </w:pPr>
    </w:p>
    <w:p w14:paraId="2CE171F9">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bookmarkStart w:id="150" w:name="_Toc114063719"/>
      <w:r>
        <w:rPr>
          <w:sz w:val="32"/>
          <w:szCs w:val="48"/>
        </w:rPr>
        <w:t>八、强化体制机制法治管理，提升水利治理能力和水平</w:t>
      </w:r>
      <w:bookmarkEnd w:id="150"/>
    </w:p>
    <w:p w14:paraId="56283C88">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全力强化依法治水管水护水，按照“夯基础、强能力”的思路，全面加强水利法规制度建设、涉水事务监管、水安全风险防控，推进水利人才队伍建设和科技支撑，不断提升水治理能力现代化水平。</w:t>
      </w:r>
    </w:p>
    <w:p w14:paraId="65849FAC">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51" w:name="_Toc78187655"/>
      <w:bookmarkStart w:id="152" w:name="_Toc78187506"/>
      <w:bookmarkStart w:id="153" w:name="_Toc114063720"/>
      <w:r>
        <w:rPr>
          <w:rFonts w:hint="eastAsia" w:ascii="楷体_GB2312" w:hAnsi="楷体_GB2312" w:eastAsia="楷体_GB2312" w:cs="楷体_GB2312"/>
          <w:b/>
          <w:bCs w:val="0"/>
          <w:sz w:val="32"/>
          <w:szCs w:val="36"/>
        </w:rPr>
        <w:t>（一）</w:t>
      </w:r>
      <w:bookmarkEnd w:id="151"/>
      <w:bookmarkEnd w:id="152"/>
      <w:r>
        <w:rPr>
          <w:rFonts w:hint="eastAsia" w:ascii="楷体_GB2312" w:hAnsi="楷体_GB2312" w:eastAsia="楷体_GB2312" w:cs="楷体_GB2312"/>
          <w:b/>
          <w:bCs w:val="0"/>
          <w:sz w:val="32"/>
          <w:szCs w:val="36"/>
        </w:rPr>
        <w:t>加强水利法治建设</w:t>
      </w:r>
      <w:bookmarkEnd w:id="153"/>
    </w:p>
    <w:p w14:paraId="4517B530">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贯彻实施国家有关水法律法规，适应水利现代化发展需要，根据上位法的修订和体制机制的创新要求，不断完善涉水规章制度建设。完善水行政综合执法体系，统筹配置水行政执法资源和执法力量，合理规划、调整、设置基层水行政执法机构。推进跨区域、跨部门联合执法机制。全面推行水行政执法公示制度，执法全过程记录制度、重大执法决定法治审核制度等“三项制度”。</w:t>
      </w:r>
    </w:p>
    <w:p w14:paraId="2D475A0F">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54" w:name="_Toc114063721"/>
      <w:r>
        <w:rPr>
          <w:rFonts w:hint="eastAsia" w:ascii="楷体_GB2312" w:hAnsi="楷体_GB2312" w:eastAsia="楷体_GB2312" w:cs="楷体_GB2312"/>
          <w:b/>
          <w:bCs w:val="0"/>
          <w:sz w:val="32"/>
          <w:szCs w:val="36"/>
        </w:rPr>
        <w:t>（二）加强涉水事务监管</w:t>
      </w:r>
      <w:bookmarkEnd w:id="154"/>
    </w:p>
    <w:p w14:paraId="4798A18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围绕水利工作重点领域，针对监管薄弱环节，全面提升涉水事务监管水平。</w:t>
      </w:r>
      <w:r>
        <w:rPr>
          <w:rFonts w:hint="eastAsia" w:ascii="楷体_GB2312" w:hAnsi="楷体_GB2312" w:eastAsia="楷体_GB2312" w:cs="楷体_GB2312"/>
          <w:b/>
          <w:bCs/>
        </w:rPr>
        <w:t>强化河湖长制。</w:t>
      </w:r>
      <w:r>
        <w:rPr>
          <w:rFonts w:hint="eastAsia" w:ascii="仿宋_GB2312" w:hAnsi="仿宋_GB2312" w:eastAsia="仿宋_GB2312" w:cs="仿宋_GB2312"/>
        </w:rPr>
        <w:t>建立健全以党政领导负责制为核心、河湖长+河长办+部门+基层河湖管护队伍为主体的责任体系，构建河湖保护机制。完善河湖长制组织体系，促进河湖长责任主体履职尽责。滚动编制完善一河（湖）一策方案，加快划定河湖管理范围，继续开展河湖岸线保护和利用规划编制工作，强化水域岸线用途管制。建立河湖“清四乱”常态化、规范化机制。及时开展全市重要河段河道采砂规划编制或修编，规范河道采砂管理秩序。进一步规范涉河建设项目许可，加强涉河建设项目实施监管。开展河湖健康评价试点，逐步建立河湖健康档案。严格考核激励问责。</w:t>
      </w:r>
      <w:r>
        <w:rPr>
          <w:rFonts w:hint="eastAsia" w:ascii="楷体_GB2312" w:hAnsi="楷体_GB2312" w:eastAsia="楷体_GB2312" w:cs="楷体_GB2312"/>
          <w:b/>
          <w:bCs/>
        </w:rPr>
        <w:t>严格水资源监管。</w:t>
      </w:r>
      <w:r>
        <w:rPr>
          <w:rFonts w:hint="eastAsia" w:ascii="仿宋_GB2312" w:hAnsi="仿宋_GB2312" w:eastAsia="仿宋_GB2312" w:cs="仿宋_GB2312"/>
        </w:rPr>
        <w:t>执行规划和建设项目取水许可审批制度，加强事中事后监管。严格落实用水总量和用水效率控制指标。实施用水统计调查制度，建立取用水统计台账、重点取用水户名录。强化用水定额标准约束作用。加强计划用水执行监督管理。全面实行规划和建设项目节水评价。</w:t>
      </w:r>
      <w:r>
        <w:rPr>
          <w:rFonts w:hint="eastAsia" w:ascii="楷体_GB2312" w:hAnsi="楷体_GB2312" w:eastAsia="楷体_GB2312" w:cs="楷体_GB2312"/>
          <w:b/>
          <w:bCs/>
        </w:rPr>
        <w:t>加强水利工程监管。</w:t>
      </w:r>
      <w:r>
        <w:rPr>
          <w:rFonts w:hint="eastAsia" w:ascii="仿宋_GB2312" w:hAnsi="仿宋_GB2312" w:eastAsia="仿宋_GB2312" w:cs="仿宋_GB2312"/>
        </w:rPr>
        <w:t>规范项目法人组建。加强水利工程建设管理全生命周期动态监管。强化前期工作、设计变更、“四制”执行、质量管理、移民安置、工程验收等环节监管。督促市场主体履职尽责，落实质量终身责任制。实现水利工程建设质量与安全属地管理分级负责。加强招投标行政监督，建立健全监督和举报投诉处理机制。进一步严格工程验收管理。推进水利工程标准化和规范化管理，探索推进小型水利工程专业化、社会化建设管理。</w:t>
      </w:r>
      <w:r>
        <w:rPr>
          <w:rFonts w:hint="eastAsia" w:ascii="楷体_GB2312" w:hAnsi="楷体_GB2312" w:eastAsia="楷体_GB2312" w:cs="楷体_GB2312"/>
          <w:b/>
          <w:bCs/>
        </w:rPr>
        <w:t>加强水土保持监管。</w:t>
      </w:r>
      <w:r>
        <w:rPr>
          <w:rFonts w:hint="eastAsia" w:ascii="仿宋_GB2312" w:hAnsi="仿宋_GB2312" w:eastAsia="仿宋_GB2312" w:cs="仿宋_GB2312"/>
        </w:rPr>
        <w:t>建立人为水土流失常态化监管机制，逐步实现人为水土流失信息化监管全覆盖。依法加强生产建设项目和活动的水土保持监管，建立监管与执法的联动机制。加强对生产建设项目水土保持方案审批、水土保持补偿费征收、水土保持监测及验收核查等方面的监管。</w:t>
      </w:r>
    </w:p>
    <w:p w14:paraId="5B3A1BF8">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val="0"/>
          <w:bCs/>
          <w:sz w:val="32"/>
          <w:szCs w:val="36"/>
        </w:rPr>
      </w:pPr>
      <w:bookmarkStart w:id="155" w:name="_Toc114063722"/>
      <w:bookmarkStart w:id="156" w:name="_Toc78187656"/>
      <w:bookmarkStart w:id="157" w:name="_Toc78187507"/>
      <w:r>
        <w:rPr>
          <w:rFonts w:hint="eastAsia" w:ascii="楷体_GB2312" w:hAnsi="楷体_GB2312" w:eastAsia="楷体_GB2312" w:cs="楷体_GB2312"/>
          <w:b/>
          <w:bCs w:val="0"/>
          <w:sz w:val="32"/>
          <w:szCs w:val="36"/>
        </w:rPr>
        <w:t>（三）强化水安全风险防控</w:t>
      </w:r>
      <w:bookmarkEnd w:id="155"/>
    </w:p>
    <w:p w14:paraId="4EF9F37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按照“ 预防为主、风险可控”的原则，牢固树立底线思维，强化风险意识，加强水安全风险识别，制定完善应急预案，建立健全应急处置机制和</w:t>
      </w:r>
      <w:r>
        <w:rPr>
          <w:rFonts w:hint="eastAsia" w:ascii="仿宋_GB2312" w:hAnsi="仿宋_GB2312" w:eastAsia="仿宋_GB2312" w:cs="仿宋_GB2312"/>
          <w:lang w:val="en-US" w:eastAsia="zh-CN"/>
        </w:rPr>
        <w:t>相应</w:t>
      </w:r>
      <w:r>
        <w:rPr>
          <w:rFonts w:hint="eastAsia" w:ascii="仿宋_GB2312" w:hAnsi="仿宋_GB2312" w:eastAsia="仿宋_GB2312" w:cs="仿宋_GB2312"/>
        </w:rPr>
        <w:t>的风险响应机制，注重演练和宣传，妥善应对水安全极端情况和各种困难局面。</w:t>
      </w:r>
    </w:p>
    <w:p w14:paraId="00222636">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58" w:name="_Toc78187485"/>
      <w:bookmarkStart w:id="159" w:name="_Toc78187634"/>
      <w:bookmarkStart w:id="160" w:name="_Toc114063723"/>
      <w:bookmarkStart w:id="161" w:name="_Toc113972176"/>
      <w:r>
        <w:rPr>
          <w:rFonts w:hint="eastAsia" w:ascii="仿宋_GB2312" w:hAnsi="仿宋_GB2312" w:eastAsia="仿宋_GB2312" w:cs="仿宋_GB2312"/>
          <w:sz w:val="32"/>
          <w:szCs w:val="36"/>
        </w:rPr>
        <w:t>1</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加强水安全风险识别</w:t>
      </w:r>
      <w:bookmarkEnd w:id="158"/>
      <w:bookmarkEnd w:id="159"/>
      <w:bookmarkEnd w:id="160"/>
      <w:bookmarkEnd w:id="161"/>
    </w:p>
    <w:p w14:paraId="7F81DF88">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结合第一</w:t>
      </w:r>
      <w:r>
        <w:rPr>
          <w:rFonts w:hint="eastAsia" w:ascii="仿宋_GB2312" w:hAnsi="仿宋_GB2312" w:eastAsia="仿宋_GB2312" w:cs="仿宋_GB2312"/>
          <w:lang w:eastAsia="zh-CN"/>
        </w:rPr>
        <w:t>次</w:t>
      </w:r>
      <w:r>
        <w:rPr>
          <w:rFonts w:hint="eastAsia" w:ascii="仿宋_GB2312" w:hAnsi="仿宋_GB2312" w:eastAsia="仿宋_GB2312" w:cs="仿宋_GB2312"/>
        </w:rPr>
        <w:t>全国自然灾害综合风险普查，加强洪灾、旱灾等各类风险源排查防控，建立水安全风险识别和监测预警体系，</w:t>
      </w:r>
      <w:r>
        <w:rPr>
          <w:rFonts w:hint="eastAsia" w:ascii="仿宋_GB2312" w:hAnsi="仿宋_GB2312" w:eastAsia="仿宋_GB2312" w:cs="仿宋_GB2312"/>
          <w:lang w:val="en-US" w:eastAsia="zh-CN"/>
        </w:rPr>
        <w:t>配合开展洪水风险监测，</w:t>
      </w:r>
      <w:r>
        <w:rPr>
          <w:rFonts w:hint="eastAsia" w:ascii="仿宋_GB2312" w:hAnsi="仿宋_GB2312" w:eastAsia="仿宋_GB2312" w:cs="仿宋_GB2312"/>
        </w:rPr>
        <w:t>加强动态监控响应。强化水安全风险防范意识，坚持预防与应急相结合、常态与非常态相结合，提前做好各项准备。</w:t>
      </w:r>
    </w:p>
    <w:p w14:paraId="3B130B07">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62" w:name="_Toc114063724"/>
      <w:bookmarkStart w:id="163" w:name="_Toc78187635"/>
      <w:bookmarkStart w:id="164" w:name="_Toc113972177"/>
      <w:bookmarkStart w:id="165" w:name="_Toc78187486"/>
      <w:r>
        <w:rPr>
          <w:rFonts w:hint="eastAsia" w:ascii="仿宋_GB2312" w:hAnsi="仿宋_GB2312" w:eastAsia="仿宋_GB2312" w:cs="仿宋_GB2312"/>
          <w:sz w:val="32"/>
          <w:szCs w:val="36"/>
        </w:rPr>
        <w:t>2</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制定完善应急预案</w:t>
      </w:r>
      <w:bookmarkEnd w:id="162"/>
      <w:bookmarkEnd w:id="163"/>
      <w:bookmarkEnd w:id="164"/>
      <w:bookmarkEnd w:id="165"/>
    </w:p>
    <w:p w14:paraId="4727A034">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针对各类可能存在的水安全风险，组织制定应急预案，合理确定应急预案内容，突出重点，落实责任主体，分级分类明确洪水、干旱、水污染、爆管、大面积停水、溃坝溃堤、滑坡、恐怖袭击、战争等各类水安全突发事件的应对原则、组织指挥机制、预警预报与响应程序、应急处置及保障措施等内容。</w:t>
      </w:r>
    </w:p>
    <w:p w14:paraId="7CEAC689">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bookmarkStart w:id="166" w:name="_Toc113972178"/>
      <w:bookmarkStart w:id="167" w:name="_Toc114063725"/>
      <w:r>
        <w:rPr>
          <w:rFonts w:hint="eastAsia" w:ascii="仿宋_GB2312" w:hAnsi="仿宋_GB2312" w:eastAsia="仿宋_GB2312" w:cs="仿宋_GB2312"/>
          <w:sz w:val="32"/>
          <w:szCs w:val="36"/>
        </w:rPr>
        <w:t>3</w:t>
      </w:r>
      <w:r>
        <w:rPr>
          <w:rFonts w:hint="eastAsia" w:ascii="仿宋_GB2312" w:hAnsi="仿宋_GB2312" w:eastAsia="仿宋_GB2312" w:cs="仿宋_GB2312"/>
          <w:sz w:val="32"/>
          <w:szCs w:val="36"/>
          <w:lang w:eastAsia="zh-CN"/>
        </w:rPr>
        <w:t>.</w:t>
      </w:r>
      <w:r>
        <w:rPr>
          <w:rFonts w:hint="eastAsia" w:ascii="仿宋_GB2312" w:hAnsi="仿宋_GB2312" w:eastAsia="仿宋_GB2312" w:cs="仿宋_GB2312"/>
          <w:sz w:val="32"/>
          <w:szCs w:val="36"/>
        </w:rPr>
        <w:t>建立健全应急处置机制</w:t>
      </w:r>
      <w:bookmarkEnd w:id="166"/>
      <w:bookmarkEnd w:id="167"/>
    </w:p>
    <w:p w14:paraId="2F0BD7F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坚持快速响应、分类施策、各司其职、协同联动、稳妥处置，着力防范化解水安全风险。加强对水危机的舆论引导，提高应对和救援能力，强化水危机事后处理与重建。加强对公众的水危机教育和救援基本技能培训，组织公众参与减灾工作。</w:t>
      </w:r>
    </w:p>
    <w:p w14:paraId="383B8691">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68" w:name="_Toc78187508"/>
      <w:bookmarkStart w:id="169" w:name="_Toc78187657"/>
      <w:bookmarkStart w:id="170" w:name="_Toc114063726"/>
      <w:bookmarkStart w:id="171" w:name="_Toc78187487"/>
      <w:bookmarkStart w:id="172" w:name="_Toc78187636"/>
      <w:r>
        <w:rPr>
          <w:rFonts w:hint="eastAsia" w:ascii="楷体_GB2312" w:hAnsi="楷体_GB2312" w:eastAsia="楷体_GB2312" w:cs="楷体_GB2312"/>
          <w:b/>
          <w:bCs w:val="0"/>
          <w:sz w:val="32"/>
          <w:szCs w:val="36"/>
        </w:rPr>
        <w:t>（四）</w:t>
      </w:r>
      <w:bookmarkEnd w:id="168"/>
      <w:bookmarkEnd w:id="169"/>
      <w:r>
        <w:rPr>
          <w:rFonts w:hint="eastAsia" w:ascii="楷体_GB2312" w:hAnsi="楷体_GB2312" w:eastAsia="楷体_GB2312" w:cs="楷体_GB2312"/>
          <w:b/>
          <w:bCs w:val="0"/>
          <w:sz w:val="32"/>
          <w:szCs w:val="36"/>
        </w:rPr>
        <w:t>加强人才队伍建设</w:t>
      </w:r>
      <w:bookmarkEnd w:id="170"/>
    </w:p>
    <w:p w14:paraId="5E6A0C98">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r>
        <w:rPr>
          <w:rFonts w:hint="eastAsia" w:ascii="仿宋_GB2312" w:hAnsi="仿宋_GB2312" w:eastAsia="仿宋_GB2312" w:cs="仿宋_GB2312"/>
          <w:sz w:val="32"/>
          <w:szCs w:val="36"/>
          <w:lang w:val="en-US" w:eastAsia="zh-CN"/>
        </w:rPr>
        <w:t>1.</w:t>
      </w:r>
      <w:r>
        <w:rPr>
          <w:rFonts w:hint="eastAsia" w:ascii="仿宋_GB2312" w:hAnsi="仿宋_GB2312" w:eastAsia="仿宋_GB2312" w:cs="仿宋_GB2312"/>
          <w:sz w:val="32"/>
          <w:szCs w:val="36"/>
        </w:rPr>
        <w:t>抓好干部教育培训工作</w:t>
      </w:r>
    </w:p>
    <w:p w14:paraId="25E12DBD">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以习近平新时代中国特色</w:t>
      </w:r>
      <w:r>
        <w:rPr>
          <w:rFonts w:hint="eastAsia" w:ascii="仿宋_GB2312" w:hAnsi="仿宋_GB2312" w:eastAsia="仿宋_GB2312" w:cs="仿宋_GB2312"/>
          <w:lang w:eastAsia="zh-CN"/>
        </w:rPr>
        <w:t>社会主义思想主题教育</w:t>
      </w:r>
      <w:r>
        <w:rPr>
          <w:rFonts w:hint="eastAsia" w:ascii="仿宋_GB2312" w:hAnsi="仿宋_GB2312" w:eastAsia="仿宋_GB2312" w:cs="仿宋_GB2312"/>
        </w:rPr>
        <w:t>培训作为首要任务，旗帜鲜明讲政治为根本要求，坚持联系实际、从严管理，提高培训针对</w:t>
      </w:r>
      <w:r>
        <w:rPr>
          <w:rFonts w:hint="eastAsia" w:ascii="仿宋_GB2312" w:hAnsi="仿宋_GB2312" w:eastAsia="仿宋_GB2312" w:cs="仿宋_GB2312"/>
          <w:lang w:eastAsia="zh-CN"/>
        </w:rPr>
        <w:t>性和</w:t>
      </w:r>
      <w:r>
        <w:rPr>
          <w:rFonts w:hint="eastAsia" w:ascii="仿宋_GB2312" w:hAnsi="仿宋_GB2312" w:eastAsia="仿宋_GB2312" w:cs="仿宋_GB2312"/>
        </w:rPr>
        <w:t>有效性，分类分级组织实施干部教育培训，提升各级各类干部人才的专业化能力，不断增强干部教育培训工作和生机活力，高质量教育培训干部、高水平服务全市水利事业发展。</w:t>
      </w:r>
    </w:p>
    <w:p w14:paraId="6F209E77">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rPr>
      </w:pPr>
      <w:r>
        <w:rPr>
          <w:rFonts w:hint="eastAsia" w:ascii="仿宋_GB2312" w:hAnsi="仿宋_GB2312" w:eastAsia="仿宋_GB2312" w:cs="仿宋_GB2312"/>
          <w:sz w:val="32"/>
          <w:szCs w:val="36"/>
          <w:lang w:val="en-US" w:eastAsia="zh-CN"/>
        </w:rPr>
        <w:t>2.</w:t>
      </w:r>
      <w:r>
        <w:rPr>
          <w:rFonts w:hint="eastAsia" w:ascii="仿宋_GB2312" w:hAnsi="仿宋_GB2312" w:eastAsia="仿宋_GB2312" w:cs="仿宋_GB2312"/>
          <w:sz w:val="32"/>
          <w:szCs w:val="36"/>
        </w:rPr>
        <w:t>做好人才培养与引进工作</w:t>
      </w:r>
    </w:p>
    <w:p w14:paraId="1497290D">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积极健全人才培养和管理体制机制，突破瓶颈障碍，鼓励引导人才向艰苦边远地区和基层一线流动，为提高水安全保障能力提供人才支持和智力支撑。坚持把本地人才作为水利人才队伍建设的主体，加强本地急需水利专业技术和管理人才队伍建设。完善基层人才培养体制机制，加大基层人才培养和引进人才力度，加强创新型、应用型、技能型人才培养，扎实推进基层专业人才队伍建设。</w:t>
      </w:r>
    </w:p>
    <w:p w14:paraId="25F85CC8">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sz w:val="32"/>
          <w:szCs w:val="36"/>
          <w:lang w:val="en-US" w:eastAsia="zh-CN"/>
        </w:rPr>
        <w:t>3.探索建立科学的人才评价机制</w:t>
      </w:r>
    </w:p>
    <w:p w14:paraId="5459F99F">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树立科学的人才观，以公开、平等、竞争、择优为导向，注重实效，因人因地制宜，探索建立多元化的人才评价指标和体系。党政人才注重“群众公认”，经营管理人才注重“市场评价”，专业技术人才注重“同行公认”，技能人才注重“实际效益”，全面、客观、准确地反映各类人才的德才表现和工作实绩，促进各类优秀人才脱颖而出。</w:t>
      </w:r>
    </w:p>
    <w:p w14:paraId="02157569">
      <w:pPr>
        <w:pStyle w:val="35"/>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sz w:val="32"/>
          <w:szCs w:val="36"/>
          <w:lang w:val="en-US" w:eastAsia="zh-CN"/>
        </w:rPr>
        <w:t>4.完善人才激励机制</w:t>
      </w:r>
    </w:p>
    <w:p w14:paraId="12BAEE1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坚持“以人为本”，重视情感激励，建立有效的政策和措施，实行有效激励，不断增强各类人才的成就感和责任感，激发各类人才的进取精神和竞争意识。</w:t>
      </w:r>
    </w:p>
    <w:bookmarkEnd w:id="171"/>
    <w:bookmarkEnd w:id="172"/>
    <w:p w14:paraId="37158385">
      <w:pPr>
        <w:pStyle w:val="27"/>
        <w:pageBreakBefore w:val="0"/>
        <w:widowControl w:val="0"/>
        <w:kinsoku/>
        <w:wordWrap/>
        <w:overflowPunct/>
        <w:topLinePunct w:val="0"/>
        <w:autoSpaceDE/>
        <w:autoSpaceDN/>
        <w:bidi w:val="0"/>
        <w:spacing w:line="576" w:lineRule="exact"/>
        <w:ind w:firstLine="640" w:firstLineChars="200"/>
        <w:textAlignment w:val="auto"/>
        <w:rPr>
          <w:rFonts w:cs="Times New Roman"/>
        </w:rPr>
        <w:sectPr>
          <w:pgSz w:w="11906" w:h="16838"/>
          <w:pgMar w:top="2098" w:right="1474" w:bottom="1984" w:left="1531" w:header="851" w:footer="992" w:gutter="0"/>
          <w:pgNumType w:fmt="decimal"/>
          <w:cols w:space="425" w:num="1"/>
          <w:docGrid w:type="lines" w:linePitch="312" w:charSpace="0"/>
        </w:sectPr>
      </w:pPr>
    </w:p>
    <w:p w14:paraId="7C6E29E4">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73" w:name="_Toc114063727"/>
      <w:r>
        <w:rPr>
          <w:rFonts w:hint="eastAsia" w:ascii="楷体_GB2312" w:hAnsi="楷体_GB2312" w:eastAsia="楷体_GB2312" w:cs="楷体_GB2312"/>
          <w:b/>
          <w:bCs w:val="0"/>
          <w:sz w:val="32"/>
          <w:szCs w:val="36"/>
        </w:rPr>
        <w:t>（五）</w:t>
      </w:r>
      <w:bookmarkEnd w:id="156"/>
      <w:bookmarkEnd w:id="157"/>
      <w:r>
        <w:rPr>
          <w:rFonts w:hint="eastAsia" w:ascii="楷体_GB2312" w:hAnsi="楷体_GB2312" w:eastAsia="楷体_GB2312" w:cs="楷体_GB2312"/>
          <w:b/>
          <w:bCs w:val="0"/>
          <w:sz w:val="32"/>
          <w:szCs w:val="36"/>
        </w:rPr>
        <w:t>强化水利科技支撑</w:t>
      </w:r>
      <w:bookmarkEnd w:id="173"/>
    </w:p>
    <w:p w14:paraId="3F1F88C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注重科技创新在昌都水利发展中的驱动和引领作用，加强实用水利技术推广和高新技术应用。系统梳理昌都在水生态保护、农业高效用水过程计量控制及综合利用一体化、河湖湿地生态修复、智慧水利及水利现代化管理等方面的关键科学问题，积极开展相关课题研究，加强与高校的合作，开展技术引进，逐步推动科技成果转化。建立完善与相关组织、研究机构、民间团体的交流合作机制，搭建对话交流平台，促进交流合作，提升科技水平。</w:t>
      </w:r>
    </w:p>
    <w:p w14:paraId="4177A6DA">
      <w:pPr>
        <w:pStyle w:val="27"/>
        <w:pageBreakBefore w:val="0"/>
        <w:widowControl w:val="0"/>
        <w:kinsoku/>
        <w:wordWrap/>
        <w:overflowPunct/>
        <w:topLinePunct w:val="0"/>
        <w:autoSpaceDE/>
        <w:autoSpaceDN/>
        <w:bidi w:val="0"/>
        <w:spacing w:line="576" w:lineRule="exact"/>
        <w:ind w:firstLine="640" w:firstLineChars="200"/>
        <w:textAlignment w:val="auto"/>
        <w:rPr>
          <w:rFonts w:cs="Times New Roman"/>
        </w:rPr>
        <w:sectPr>
          <w:pgSz w:w="11906" w:h="16838"/>
          <w:pgMar w:top="2098" w:right="1474" w:bottom="1984" w:left="1531" w:header="851" w:footer="992" w:gutter="0"/>
          <w:pgNumType w:fmt="decimal"/>
          <w:cols w:space="425" w:num="1"/>
          <w:docGrid w:type="lines" w:linePitch="312" w:charSpace="0"/>
        </w:sectPr>
      </w:pPr>
    </w:p>
    <w:p w14:paraId="73275767">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bookmarkStart w:id="174" w:name="_Toc114063728"/>
      <w:r>
        <w:rPr>
          <w:sz w:val="32"/>
          <w:szCs w:val="48"/>
        </w:rPr>
        <w:t>九、重大工程</w:t>
      </w:r>
      <w:bookmarkEnd w:id="174"/>
    </w:p>
    <w:p w14:paraId="28868C09">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以《水利部办公厅关于印发“十四五”水安全保障规划重点项目筛选和投资规模测算办法的通知》（办规计〔2020〕72号）为依据，按照“确有需要、生态安全、可以持续”的原则，综合考虑规划依据、开发利用条件、建设条件、前期工作基础和地方积极性等因素，优先实施一批具有战略意义的补短板重大水利工程，为高质量发展和生态文明建设提供有力支撑。</w:t>
      </w:r>
    </w:p>
    <w:p w14:paraId="40623592">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75" w:name="_Toc78187661"/>
      <w:bookmarkStart w:id="176" w:name="_Toc114063729"/>
      <w:bookmarkStart w:id="177" w:name="_Toc78187512"/>
      <w:r>
        <w:rPr>
          <w:rFonts w:hint="eastAsia" w:ascii="楷体_GB2312" w:hAnsi="楷体_GB2312" w:eastAsia="楷体_GB2312" w:cs="楷体_GB2312"/>
          <w:b/>
          <w:bCs w:val="0"/>
          <w:sz w:val="32"/>
          <w:szCs w:val="36"/>
        </w:rPr>
        <w:t>（一）宗通卡水利枢纽工程</w:t>
      </w:r>
      <w:bookmarkEnd w:id="175"/>
      <w:bookmarkEnd w:id="176"/>
      <w:bookmarkEnd w:id="177"/>
    </w:p>
    <w:p w14:paraId="566CF56D">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西藏昂曲宗通卡水利枢纽工程位于昂曲下游河段。昂曲是澜沧江最大的支流，流域面积17715</w:t>
      </w:r>
      <w:r>
        <w:rPr>
          <w:rFonts w:hint="eastAsia" w:ascii="仿宋_GB2312" w:hAnsi="仿宋_GB2312" w:eastAsia="仿宋_GB2312" w:cs="仿宋_GB2312"/>
          <w:lang w:eastAsia="zh-CN"/>
        </w:rPr>
        <w:t>平方公里</w:t>
      </w:r>
      <w:r>
        <w:rPr>
          <w:rFonts w:hint="eastAsia" w:ascii="仿宋_GB2312" w:hAnsi="仿宋_GB2312" w:eastAsia="仿宋_GB2312" w:cs="仿宋_GB2312"/>
        </w:rPr>
        <w:t>，干流全长约499.3</w:t>
      </w:r>
      <w:r>
        <w:rPr>
          <w:rFonts w:hint="eastAsia" w:ascii="仿宋_GB2312" w:hAnsi="仿宋_GB2312" w:eastAsia="仿宋_GB2312" w:cs="仿宋_GB2312"/>
          <w:lang w:eastAsia="zh-CN"/>
        </w:rPr>
        <w:t>公里</w:t>
      </w:r>
      <w:r>
        <w:rPr>
          <w:rFonts w:hint="eastAsia" w:ascii="仿宋_GB2312" w:hAnsi="仿宋_GB2312" w:eastAsia="仿宋_GB2312" w:cs="仿宋_GB2312"/>
        </w:rPr>
        <w:t>，天然落差1926</w:t>
      </w:r>
      <w:r>
        <w:rPr>
          <w:rFonts w:hint="eastAsia" w:ascii="仿宋_GB2312" w:hAnsi="仿宋_GB2312" w:eastAsia="仿宋_GB2312" w:cs="仿宋_GB2312"/>
          <w:lang w:eastAsia="zh-CN"/>
        </w:rPr>
        <w:t>米</w:t>
      </w:r>
      <w:r>
        <w:rPr>
          <w:rFonts w:hint="eastAsia" w:ascii="仿宋_GB2312" w:hAnsi="仿宋_GB2312" w:eastAsia="仿宋_GB2312" w:cs="仿宋_GB2312"/>
        </w:rPr>
        <w:t>，昂曲在昌都市与扎曲汇合后，即称为澜沧江。位于西藏自治区昌都市卡若区境内，坝址位于沙贡乡上游约9</w:t>
      </w:r>
      <w:r>
        <w:rPr>
          <w:rFonts w:hint="eastAsia" w:ascii="仿宋_GB2312" w:hAnsi="仿宋_GB2312" w:eastAsia="仿宋_GB2312" w:cs="仿宋_GB2312"/>
          <w:lang w:eastAsia="zh-CN"/>
        </w:rPr>
        <w:t>公里</w:t>
      </w:r>
      <w:r>
        <w:rPr>
          <w:rFonts w:hint="eastAsia" w:ascii="仿宋_GB2312" w:hAnsi="仿宋_GB2312" w:eastAsia="仿宋_GB2312" w:cs="仿宋_GB2312"/>
        </w:rPr>
        <w:t>，距昌都市约60</w:t>
      </w:r>
      <w:r>
        <w:rPr>
          <w:rFonts w:hint="eastAsia" w:ascii="仿宋_GB2312" w:hAnsi="仿宋_GB2312" w:eastAsia="仿宋_GB2312" w:cs="仿宋_GB2312"/>
          <w:lang w:eastAsia="zh-CN"/>
        </w:rPr>
        <w:t>公里</w:t>
      </w:r>
      <w:r>
        <w:rPr>
          <w:rFonts w:hint="eastAsia" w:ascii="仿宋_GB2312" w:hAnsi="仿宋_GB2312" w:eastAsia="仿宋_GB2312" w:cs="仿宋_GB2312"/>
        </w:rPr>
        <w:t>。</w:t>
      </w:r>
    </w:p>
    <w:p w14:paraId="4368BB3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宗通卡水利枢纽工程是《澜沧江流域综合规划》中的重要综合性开发项目。项目</w:t>
      </w:r>
      <w:r>
        <w:rPr>
          <w:rFonts w:hint="eastAsia" w:ascii="仿宋_GB2312" w:hAnsi="仿宋_GB2312" w:eastAsia="仿宋_GB2312" w:cs="仿宋_GB2312"/>
          <w:lang w:eastAsia="zh-CN"/>
        </w:rPr>
        <w:t>建设任务为以供水为主</w:t>
      </w:r>
      <w:r>
        <w:rPr>
          <w:rFonts w:hint="eastAsia" w:ascii="仿宋_GB2312" w:hAnsi="仿宋_GB2312" w:eastAsia="仿宋_GB2312" w:cs="仿宋_GB2312"/>
        </w:rPr>
        <w:t>，结合发电，兼顾灌溉。宗通卡水利枢纽的兴建可为昌都市城区提供稳定、充足的优质水源；同时，通过引水灌溉，大幅提高昂曲两岸土地灌溉率，促进农业生产的发展；进一步推动昌都市的水电开发，实行“以电养水”，并为当地矿产资源开发及相关产业的发展带来更多的电力保障。</w:t>
      </w:r>
    </w:p>
    <w:p w14:paraId="506674C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宗通卡水利枢纽工程由挡水、泄水及电站厂房等主要建筑物组成，水库正常蓄水位为3474</w:t>
      </w:r>
      <w:r>
        <w:rPr>
          <w:rFonts w:hint="eastAsia" w:ascii="仿宋_GB2312" w:hAnsi="仿宋_GB2312" w:eastAsia="仿宋_GB2312" w:cs="仿宋_GB2312"/>
          <w:lang w:eastAsia="zh-CN"/>
        </w:rPr>
        <w:t>米</w:t>
      </w:r>
      <w:r>
        <w:rPr>
          <w:rFonts w:hint="eastAsia" w:ascii="仿宋_GB2312" w:hAnsi="仿宋_GB2312" w:eastAsia="仿宋_GB2312" w:cs="仿宋_GB2312"/>
        </w:rPr>
        <w:t>，死水位为3464</w:t>
      </w:r>
      <w:r>
        <w:rPr>
          <w:rFonts w:hint="eastAsia" w:ascii="仿宋_GB2312" w:hAnsi="仿宋_GB2312" w:eastAsia="仿宋_GB2312" w:cs="仿宋_GB2312"/>
          <w:lang w:eastAsia="zh-CN"/>
        </w:rPr>
        <w:t>米</w:t>
      </w:r>
      <w:r>
        <w:rPr>
          <w:rFonts w:hint="eastAsia" w:ascii="仿宋_GB2312" w:hAnsi="仿宋_GB2312" w:eastAsia="仿宋_GB2312" w:cs="仿宋_GB2312"/>
        </w:rPr>
        <w:t>，总库容为1.26亿</w:t>
      </w:r>
      <w:r>
        <w:rPr>
          <w:rFonts w:hint="eastAsia" w:ascii="仿宋_GB2312" w:hAnsi="仿宋_GB2312" w:eastAsia="仿宋_GB2312" w:cs="仿宋_GB2312"/>
          <w:lang w:eastAsia="zh-CN"/>
        </w:rPr>
        <w:t>立方米</w:t>
      </w:r>
      <w:r>
        <w:rPr>
          <w:rFonts w:hint="eastAsia" w:ascii="仿宋_GB2312" w:hAnsi="仿宋_GB2312" w:eastAsia="仿宋_GB2312" w:cs="仿宋_GB2312"/>
        </w:rPr>
        <w:t>，死库容为0.69亿</w:t>
      </w:r>
      <w:r>
        <w:rPr>
          <w:rFonts w:hint="eastAsia" w:ascii="仿宋_GB2312" w:hAnsi="仿宋_GB2312" w:eastAsia="仿宋_GB2312" w:cs="仿宋_GB2312"/>
          <w:lang w:eastAsia="zh-CN"/>
        </w:rPr>
        <w:t>立方米</w:t>
      </w:r>
      <w:r>
        <w:rPr>
          <w:rFonts w:hint="eastAsia" w:ascii="仿宋_GB2312" w:hAnsi="仿宋_GB2312" w:eastAsia="仿宋_GB2312" w:cs="仿宋_GB2312"/>
        </w:rPr>
        <w:t>。工程等别为二等，大坝为沥青心墙坝，坝顶高程为3477</w:t>
      </w:r>
      <w:r>
        <w:rPr>
          <w:rFonts w:hint="eastAsia" w:ascii="仿宋_GB2312" w:hAnsi="仿宋_GB2312" w:eastAsia="仿宋_GB2312" w:cs="仿宋_GB2312"/>
          <w:lang w:eastAsia="zh-CN"/>
        </w:rPr>
        <w:t>米</w:t>
      </w:r>
      <w:r>
        <w:rPr>
          <w:rFonts w:hint="eastAsia" w:ascii="仿宋_GB2312" w:hAnsi="仿宋_GB2312" w:eastAsia="仿宋_GB2312" w:cs="仿宋_GB2312"/>
        </w:rPr>
        <w:t>，坝顶长度310</w:t>
      </w:r>
      <w:r>
        <w:rPr>
          <w:rFonts w:hint="eastAsia" w:ascii="仿宋_GB2312" w:hAnsi="仿宋_GB2312" w:eastAsia="仿宋_GB2312" w:cs="仿宋_GB2312"/>
          <w:lang w:eastAsia="zh-CN"/>
        </w:rPr>
        <w:t>米</w:t>
      </w:r>
      <w:r>
        <w:rPr>
          <w:rFonts w:hint="eastAsia" w:ascii="仿宋_GB2312" w:hAnsi="仿宋_GB2312" w:eastAsia="仿宋_GB2312" w:cs="仿宋_GB2312"/>
        </w:rPr>
        <w:t>，最大坝高78</w:t>
      </w:r>
      <w:r>
        <w:rPr>
          <w:rFonts w:hint="eastAsia" w:ascii="仿宋_GB2312" w:hAnsi="仿宋_GB2312" w:eastAsia="仿宋_GB2312" w:cs="仿宋_GB2312"/>
          <w:lang w:eastAsia="zh-CN"/>
        </w:rPr>
        <w:t>米</w:t>
      </w:r>
      <w:r>
        <w:rPr>
          <w:rFonts w:hint="eastAsia" w:ascii="仿宋_GB2312" w:hAnsi="仿宋_GB2312" w:eastAsia="仿宋_GB2312" w:cs="仿宋_GB2312"/>
        </w:rPr>
        <w:t>，泄水建筑物由溢洪道和泄洪洞组成，发电引水建筑物由进水口、引水隧洞组成，电站厂房为地面厂房，装机10</w:t>
      </w:r>
      <w:r>
        <w:rPr>
          <w:rFonts w:hint="eastAsia" w:ascii="仿宋_GB2312" w:hAnsi="仿宋_GB2312" w:eastAsia="仿宋_GB2312" w:cs="仿宋_GB2312"/>
          <w:lang w:val="en-US" w:eastAsia="zh-CN"/>
        </w:rPr>
        <w:t>.4万千</w:t>
      </w:r>
      <w:r>
        <w:rPr>
          <w:rFonts w:hint="eastAsia" w:ascii="仿宋_GB2312" w:hAnsi="仿宋_GB2312" w:eastAsia="仿宋_GB2312" w:cs="仿宋_GB2312"/>
        </w:rPr>
        <w:t>瓦，多年平均年发电量4.52</w:t>
      </w:r>
      <w:r>
        <w:rPr>
          <w:rFonts w:hint="eastAsia" w:ascii="仿宋_GB2312" w:hAnsi="仿宋_GB2312" w:eastAsia="仿宋_GB2312" w:cs="仿宋_GB2312"/>
          <w:lang w:eastAsia="zh-CN"/>
        </w:rPr>
        <w:t>亿千瓦时</w:t>
      </w:r>
      <w:r>
        <w:rPr>
          <w:rFonts w:hint="eastAsia" w:ascii="仿宋_GB2312" w:hAnsi="仿宋_GB2312" w:eastAsia="仿宋_GB2312" w:cs="仿宋_GB2312"/>
        </w:rPr>
        <w:t>。2030年水库多年平均供水量6604万</w:t>
      </w:r>
      <w:r>
        <w:rPr>
          <w:rFonts w:hint="eastAsia" w:ascii="仿宋_GB2312" w:hAnsi="仿宋_GB2312" w:eastAsia="仿宋_GB2312" w:cs="仿宋_GB2312"/>
          <w:lang w:eastAsia="zh-CN"/>
        </w:rPr>
        <w:t>立方米</w:t>
      </w:r>
      <w:r>
        <w:rPr>
          <w:rFonts w:hint="eastAsia" w:ascii="仿宋_GB2312" w:hAnsi="仿宋_GB2312" w:eastAsia="仿宋_GB2312" w:cs="仿宋_GB2312"/>
        </w:rPr>
        <w:t>，其中向受水区城镇多年平均供水量5276万</w:t>
      </w:r>
      <w:r>
        <w:rPr>
          <w:rFonts w:hint="eastAsia" w:ascii="仿宋_GB2312" w:hAnsi="仿宋_GB2312" w:eastAsia="仿宋_GB2312" w:cs="仿宋_GB2312"/>
          <w:lang w:eastAsia="zh-CN"/>
        </w:rPr>
        <w:t>立方米</w:t>
      </w:r>
      <w:r>
        <w:rPr>
          <w:rFonts w:hint="eastAsia" w:ascii="仿宋_GB2312" w:hAnsi="仿宋_GB2312" w:eastAsia="仿宋_GB2312" w:cs="仿宋_GB2312"/>
        </w:rPr>
        <w:t>，向灌区农业灌溉多年平均供水量为1328万</w:t>
      </w:r>
      <w:r>
        <w:rPr>
          <w:rFonts w:hint="eastAsia" w:ascii="仿宋_GB2312" w:hAnsi="仿宋_GB2312" w:eastAsia="仿宋_GB2312" w:cs="仿宋_GB2312"/>
          <w:lang w:eastAsia="zh-CN"/>
        </w:rPr>
        <w:t>立方米</w:t>
      </w:r>
      <w:r>
        <w:rPr>
          <w:rFonts w:hint="eastAsia" w:ascii="仿宋_GB2312" w:hAnsi="仿宋_GB2312" w:eastAsia="仿宋_GB2312" w:cs="仿宋_GB2312"/>
        </w:rPr>
        <w:t>。规划卡若灌区灌溉面积3.04万亩，全部采用自流灌溉方式。</w:t>
      </w:r>
    </w:p>
    <w:p w14:paraId="163D7CC1">
      <w:pPr>
        <w:pStyle w:val="32"/>
        <w:pageBreakBefore w:val="0"/>
        <w:widowControl w:val="0"/>
        <w:kinsoku/>
        <w:wordWrap/>
        <w:overflowPunct/>
        <w:topLinePunct w:val="0"/>
        <w:autoSpaceDE/>
        <w:autoSpaceDN/>
        <w:bidi w:val="0"/>
        <w:spacing w:line="576" w:lineRule="exact"/>
        <w:ind w:firstLine="60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工程总工期62个月，工程估算总投资5</w:t>
      </w:r>
      <w:r>
        <w:rPr>
          <w:rFonts w:hint="eastAsia" w:ascii="仿宋_GB2312" w:hAnsi="仿宋_GB2312" w:eastAsia="仿宋_GB2312" w:cs="仿宋_GB2312"/>
          <w:lang w:val="en-US" w:eastAsia="zh-CN"/>
        </w:rPr>
        <w:t>3</w:t>
      </w:r>
      <w:r>
        <w:rPr>
          <w:rFonts w:hint="eastAsia" w:ascii="仿宋_GB2312" w:hAnsi="仿宋_GB2312" w:eastAsia="仿宋_GB2312" w:cs="仿宋_GB2312"/>
        </w:rPr>
        <w:t>.46亿元，其中</w:t>
      </w:r>
      <w:r>
        <w:rPr>
          <w:rFonts w:hint="eastAsia" w:ascii="仿宋_GB2312" w:hAnsi="仿宋_GB2312" w:eastAsia="仿宋_GB2312" w:cs="仿宋_GB2312"/>
          <w:lang w:eastAsia="zh-CN"/>
        </w:rPr>
        <w:t>“十四五”期间</w:t>
      </w:r>
      <w:r>
        <w:rPr>
          <w:rFonts w:hint="eastAsia" w:ascii="仿宋_GB2312" w:hAnsi="仿宋_GB2312" w:eastAsia="仿宋_GB2312" w:cs="仿宋_GB2312"/>
        </w:rPr>
        <w:t>投资约1亿元。</w:t>
      </w:r>
    </w:p>
    <w:p w14:paraId="5B348E72">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2"/>
        </w:rPr>
      </w:pPr>
      <w:bookmarkStart w:id="178" w:name="_Toc78187513"/>
      <w:bookmarkStart w:id="179" w:name="_Toc78187662"/>
      <w:bookmarkStart w:id="180" w:name="_Toc114063730"/>
      <w:r>
        <w:rPr>
          <w:rFonts w:hint="eastAsia" w:ascii="楷体_GB2312" w:hAnsi="楷体_GB2312" w:eastAsia="楷体_GB2312" w:cs="楷体_GB2312"/>
          <w:b/>
          <w:bCs w:val="0"/>
          <w:sz w:val="32"/>
          <w:szCs w:val="32"/>
        </w:rPr>
        <w:t>（二）金沙江流域西藏境内生态保护和修复工程</w:t>
      </w:r>
      <w:bookmarkEnd w:id="178"/>
      <w:bookmarkEnd w:id="179"/>
      <w:bookmarkEnd w:id="180"/>
    </w:p>
    <w:p w14:paraId="7242B012">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金沙江流域西藏段地处长江上游，是国家重要水源涵养区和青藏高原生态屏障的组成部分，开展该区生态保护既是贯彻长江经济带“共抓大保护、不搞大开发”发展战略的有力举措，也是构筑国家“两屏三带”生态安全格局的重要内容。</w:t>
      </w:r>
    </w:p>
    <w:p w14:paraId="5C1A912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受自然和社会因素综合影响，金沙江流域西藏段的生态保护目前主要面临生态脆弱，部分地区植被退化严重；地形陡峭，山洪地质灾害易发多发；土层浅薄，水土流失面广害深；产业单一，局地资源环境容量趋紧4方面问题。</w:t>
      </w:r>
    </w:p>
    <w:p w14:paraId="1335ED54">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按照生态保护与</w:t>
      </w:r>
      <w:r>
        <w:rPr>
          <w:rFonts w:hint="eastAsia" w:ascii="仿宋_GB2312" w:hAnsi="仿宋_GB2312" w:eastAsia="仿宋_GB2312" w:cs="仿宋_GB2312"/>
          <w:lang w:eastAsia="zh-CN"/>
        </w:rPr>
        <w:t>乡村振兴</w:t>
      </w:r>
      <w:r>
        <w:rPr>
          <w:rFonts w:hint="eastAsia" w:ascii="仿宋_GB2312" w:hAnsi="仿宋_GB2312" w:eastAsia="仿宋_GB2312" w:cs="仿宋_GB2312"/>
        </w:rPr>
        <w:t>、民生改善相结合的总原则，针对金沙江流域西藏段生态保护中的水利建设需求，主要规划5方面的建设内容，具体包括15项建设任务（工程）。</w:t>
      </w:r>
    </w:p>
    <w:p w14:paraId="0E6A21FA">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rPr>
      </w:pPr>
      <w:r>
        <w:rPr>
          <w:rFonts w:hint="eastAsia" w:ascii="仿宋_GB2312" w:hAnsi="仿宋_GB2312" w:eastAsia="仿宋_GB2312" w:cs="仿宋_GB2312"/>
          <w:b/>
          <w:bCs/>
        </w:rPr>
        <w:t>1</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水土流失治理与生态修复</w:t>
      </w:r>
    </w:p>
    <w:p w14:paraId="7C34B85C">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金沙江流域西藏段包括1580条小流域，按“预防为主、保护优先、因地制宜、综合防治”原则，以小流域为单元实施综合治理，以坡耕地、侵蚀沟、山洪沟、道路裸露边坡等严重水土流失和</w:t>
      </w:r>
      <w:r>
        <w:rPr>
          <w:rFonts w:hint="eastAsia" w:ascii="仿宋_GB2312" w:hAnsi="仿宋_GB2312" w:eastAsia="仿宋_GB2312" w:cs="仿宋_GB2312"/>
          <w:lang w:eastAsia="zh-CN"/>
        </w:rPr>
        <w:t>农业面源污染</w:t>
      </w:r>
      <w:r>
        <w:rPr>
          <w:rFonts w:hint="eastAsia" w:ascii="仿宋_GB2312" w:hAnsi="仿宋_GB2312" w:eastAsia="仿宋_GB2312" w:cs="仿宋_GB2312"/>
        </w:rPr>
        <w:t>防控为重点，兼顾生态旅游、乡村振兴等发展需求，通过生物措施和工程措施相结合，分类治理、分区施策，打造生态安全型、生态清洁型、生态经济型、生态观光型等不同功能特色的生态小流域共100条，治理严重侵蚀的道路边坡约1000</w:t>
      </w:r>
      <w:r>
        <w:rPr>
          <w:rFonts w:hint="eastAsia" w:ascii="仿宋_GB2312" w:hAnsi="仿宋_GB2312" w:eastAsia="仿宋_GB2312" w:cs="仿宋_GB2312"/>
          <w:lang w:eastAsia="zh-CN"/>
        </w:rPr>
        <w:t>公里</w:t>
      </w:r>
      <w:r>
        <w:rPr>
          <w:rFonts w:hint="eastAsia" w:ascii="仿宋_GB2312" w:hAnsi="仿宋_GB2312" w:eastAsia="仿宋_GB2312" w:cs="仿宋_GB2312"/>
        </w:rPr>
        <w:t>，总治理面积1000</w:t>
      </w:r>
      <w:r>
        <w:rPr>
          <w:rFonts w:hint="eastAsia" w:ascii="仿宋_GB2312" w:hAnsi="仿宋_GB2312" w:eastAsia="仿宋_GB2312" w:cs="仿宋_GB2312"/>
          <w:lang w:eastAsia="zh-CN"/>
        </w:rPr>
        <w:t>平方公里</w:t>
      </w:r>
      <w:r>
        <w:rPr>
          <w:rFonts w:hint="eastAsia" w:ascii="仿宋_GB2312" w:hAnsi="仿宋_GB2312" w:eastAsia="仿宋_GB2312" w:cs="仿宋_GB2312"/>
        </w:rPr>
        <w:t>以上。</w:t>
      </w:r>
    </w:p>
    <w:p w14:paraId="4A750D4E">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rPr>
      </w:pPr>
      <w:r>
        <w:rPr>
          <w:rFonts w:hint="eastAsia" w:ascii="仿宋_GB2312" w:hAnsi="仿宋_GB2312" w:eastAsia="仿宋_GB2312" w:cs="仿宋_GB2312"/>
          <w:b/>
          <w:bCs/>
        </w:rPr>
        <w:t>2</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生态移民与搬迁迹地治理</w:t>
      </w:r>
    </w:p>
    <w:p w14:paraId="2FA66EDE">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金沙江流域西藏段内75%以上的农户居住在海拔3000</w:t>
      </w:r>
      <w:r>
        <w:rPr>
          <w:rFonts w:hint="eastAsia" w:ascii="仿宋_GB2312" w:hAnsi="仿宋_GB2312" w:eastAsia="仿宋_GB2312" w:cs="仿宋_GB2312"/>
          <w:lang w:eastAsia="zh-CN"/>
        </w:rPr>
        <w:t>米</w:t>
      </w:r>
      <w:r>
        <w:rPr>
          <w:rFonts w:hint="eastAsia" w:ascii="仿宋_GB2312" w:hAnsi="仿宋_GB2312" w:eastAsia="仿宋_GB2312" w:cs="仿宋_GB2312"/>
        </w:rPr>
        <w:t>以上的高山地带，其中11%的农户仍分散居住在海拔4000</w:t>
      </w:r>
      <w:r>
        <w:rPr>
          <w:rFonts w:hint="eastAsia" w:ascii="仿宋_GB2312" w:hAnsi="仿宋_GB2312" w:eastAsia="仿宋_GB2312" w:cs="仿宋_GB2312"/>
          <w:lang w:eastAsia="zh-CN"/>
        </w:rPr>
        <w:t>米</w:t>
      </w:r>
      <w:r>
        <w:rPr>
          <w:rFonts w:hint="eastAsia" w:ascii="仿宋_GB2312" w:hAnsi="仿宋_GB2312" w:eastAsia="仿宋_GB2312" w:cs="仿宋_GB2312"/>
        </w:rPr>
        <w:t>以上的高山陡坡上，自然条件严酷，生产、生活设施建设困难，</w:t>
      </w:r>
      <w:r>
        <w:rPr>
          <w:rFonts w:hint="eastAsia" w:ascii="仿宋_GB2312" w:hAnsi="仿宋_GB2312" w:eastAsia="仿宋_GB2312" w:cs="仿宋_GB2312"/>
          <w:lang w:val="en-US" w:eastAsia="zh-CN"/>
        </w:rPr>
        <w:t>返贫风险较大</w:t>
      </w:r>
      <w:r>
        <w:rPr>
          <w:rFonts w:hint="eastAsia" w:ascii="仿宋_GB2312" w:hAnsi="仿宋_GB2312" w:eastAsia="仿宋_GB2312" w:cs="仿宋_GB2312"/>
        </w:rPr>
        <w:t>，</w:t>
      </w:r>
      <w:r>
        <w:rPr>
          <w:rFonts w:hint="eastAsia" w:ascii="仿宋_GB2312" w:hAnsi="仿宋_GB2312" w:eastAsia="仿宋_GB2312" w:cs="仿宋_GB2312"/>
          <w:lang w:val="en-US" w:eastAsia="zh-CN"/>
        </w:rPr>
        <w:t>为</w:t>
      </w:r>
      <w:r>
        <w:rPr>
          <w:rFonts w:hint="eastAsia" w:ascii="仿宋_GB2312" w:hAnsi="仿宋_GB2312" w:eastAsia="仿宋_GB2312" w:cs="仿宋_GB2312"/>
        </w:rPr>
        <w:t>脆弱的生态系统带来巨大压力。从当地近年来的脱贫攻坚工作情况来看，生态移民在该区成效显著，是一项</w:t>
      </w:r>
      <w:r>
        <w:rPr>
          <w:rFonts w:hint="eastAsia" w:ascii="仿宋_GB2312" w:hAnsi="仿宋_GB2312" w:eastAsia="仿宋_GB2312" w:cs="仿宋_GB2312"/>
          <w:lang w:eastAsia="zh-CN"/>
        </w:rPr>
        <w:t>既有</w:t>
      </w:r>
      <w:r>
        <w:rPr>
          <w:rFonts w:hint="eastAsia" w:ascii="仿宋_GB2312" w:hAnsi="仿宋_GB2312" w:eastAsia="仿宋_GB2312" w:cs="仿宋_GB2312"/>
        </w:rPr>
        <w:t>利于生态保护又利于民生改善的有效方式。为此，按照“群众自愿、统筹安排、分类安置、有序实施”的原则，重点对区内“大三岩”片区</w:t>
      </w:r>
      <w:r>
        <w:rPr>
          <w:rFonts w:hint="eastAsia" w:ascii="仿宋_GB2312" w:hAnsi="仿宋_GB2312" w:eastAsia="仿宋_GB2312" w:cs="仿宋_GB2312"/>
          <w:lang w:val="en-US" w:eastAsia="zh-CN"/>
        </w:rPr>
        <w:t>和生态环境脆弱区、地质灾害易发区、电站规划淹没区有意愿搬迁群众</w:t>
      </w:r>
      <w:r>
        <w:rPr>
          <w:rFonts w:hint="eastAsia" w:ascii="仿宋_GB2312" w:hAnsi="仿宋_GB2312" w:eastAsia="仿宋_GB2312" w:cs="仿宋_GB2312"/>
        </w:rPr>
        <w:t>实施生态移民，并对安置区进行必要的配套基础建设，对搬迁迹地进行系统的生态恢复治理，总规划生态移民约1.5万人，治理搬迁迹地约5万亩。</w:t>
      </w:r>
    </w:p>
    <w:p w14:paraId="4BC18BD9">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rPr>
      </w:pPr>
      <w:r>
        <w:rPr>
          <w:rFonts w:hint="eastAsia" w:ascii="仿宋_GB2312" w:hAnsi="仿宋_GB2312" w:eastAsia="仿宋_GB2312" w:cs="仿宋_GB2312"/>
          <w:b/>
          <w:bCs/>
        </w:rPr>
        <w:t>3</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水毁基本农田与乡村保护</w:t>
      </w:r>
    </w:p>
    <w:p w14:paraId="1106D7D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（1）干支流河道与堤岸整治</w:t>
      </w:r>
    </w:p>
    <w:p w14:paraId="3513EFA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重点针对金沙江右岸以及藏曲、詹曲、玛曲、热曲、宗曲、中岩曲6大支流两岸，受水毁威胁严重的连片基本农田和</w:t>
      </w:r>
      <w:r>
        <w:rPr>
          <w:rFonts w:hint="eastAsia" w:ascii="仿宋_GB2312" w:hAnsi="仿宋_GB2312" w:eastAsia="仿宋_GB2312" w:cs="仿宋_GB2312"/>
          <w:lang w:val="en-US" w:eastAsia="zh-CN"/>
        </w:rPr>
        <w:t>乡（镇）、</w:t>
      </w:r>
      <w:r>
        <w:rPr>
          <w:rFonts w:hint="eastAsia" w:ascii="仿宋_GB2312" w:hAnsi="仿宋_GB2312" w:eastAsia="仿宋_GB2312" w:cs="仿宋_GB2312"/>
        </w:rPr>
        <w:t>村设施，实施局部河道疏浚，新建或加固堤防，以及适当的生态绿化，并配套整治田间排洪沟渠和路网，规划治理岸线总长约180</w:t>
      </w:r>
      <w:r>
        <w:rPr>
          <w:rFonts w:hint="eastAsia" w:ascii="仿宋_GB2312" w:hAnsi="仿宋_GB2312" w:eastAsia="仿宋_GB2312" w:cs="仿宋_GB2312"/>
          <w:lang w:eastAsia="zh-CN"/>
        </w:rPr>
        <w:t>公里</w:t>
      </w:r>
      <w:r>
        <w:rPr>
          <w:rFonts w:hint="eastAsia" w:ascii="仿宋_GB2312" w:hAnsi="仿宋_GB2312" w:eastAsia="仿宋_GB2312" w:cs="仿宋_GB2312"/>
        </w:rPr>
        <w:t>。</w:t>
      </w:r>
    </w:p>
    <w:p w14:paraId="0AFE8704">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中小河流与山洪沟整治</w:t>
      </w:r>
    </w:p>
    <w:p w14:paraId="29A15141">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主要针对其他中小河流两岸以及大型山洪沟内，受山洪水</w:t>
      </w:r>
      <w:r>
        <w:rPr>
          <w:rFonts w:hint="eastAsia" w:ascii="仿宋_GB2312" w:hAnsi="仿宋_GB2312" w:eastAsia="仿宋_GB2312" w:cs="仿宋_GB2312"/>
          <w:highlight w:val="none"/>
        </w:rPr>
        <w:t>害</w:t>
      </w:r>
      <w:r>
        <w:rPr>
          <w:rFonts w:hint="eastAsia" w:ascii="仿宋_GB2312" w:hAnsi="仿宋_GB2312" w:eastAsia="仿宋_GB2312" w:cs="仿宋_GB2312"/>
        </w:rPr>
        <w:t>威胁严重的</w:t>
      </w:r>
      <w:r>
        <w:rPr>
          <w:rFonts w:hint="eastAsia" w:ascii="仿宋_GB2312" w:hAnsi="仿宋_GB2312" w:eastAsia="仿宋_GB2312" w:cs="仿宋_GB2312"/>
          <w:lang w:val="en-US" w:eastAsia="zh-CN"/>
        </w:rPr>
        <w:t>农牧区</w:t>
      </w:r>
      <w:r>
        <w:rPr>
          <w:rFonts w:hint="eastAsia" w:ascii="仿宋_GB2312" w:hAnsi="仿宋_GB2312" w:eastAsia="仿宋_GB2312" w:cs="仿宋_GB2312"/>
        </w:rPr>
        <w:t>屋舍、基本农田、交通道路，实施包括谷坊、挡墙、护岸、沟渠等中小河流整治措施，规划治理岸线总长300</w:t>
      </w:r>
      <w:r>
        <w:rPr>
          <w:rFonts w:hint="eastAsia" w:ascii="仿宋_GB2312" w:hAnsi="仿宋_GB2312" w:eastAsia="仿宋_GB2312" w:cs="仿宋_GB2312"/>
          <w:lang w:eastAsia="zh-CN"/>
        </w:rPr>
        <w:t>公里</w:t>
      </w:r>
      <w:r>
        <w:rPr>
          <w:rFonts w:hint="eastAsia" w:ascii="仿宋_GB2312" w:hAnsi="仿宋_GB2312" w:eastAsia="仿宋_GB2312" w:cs="仿宋_GB2312"/>
        </w:rPr>
        <w:t>以上、山洪沟100条左右。</w:t>
      </w:r>
    </w:p>
    <w:p w14:paraId="7CEE3256">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农村饮水与农业灌溉保障</w:t>
      </w:r>
    </w:p>
    <w:p w14:paraId="1244661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（1）农村饮水安全保障</w:t>
      </w:r>
    </w:p>
    <w:p w14:paraId="4B3F6B19">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主要针对“大三岩”片区等流域内</w:t>
      </w:r>
      <w:r>
        <w:rPr>
          <w:rFonts w:hint="eastAsia" w:ascii="仿宋_GB2312" w:hAnsi="仿宋_GB2312" w:eastAsia="仿宋_GB2312" w:cs="仿宋_GB2312"/>
          <w:lang w:val="en-US" w:eastAsia="zh-CN"/>
        </w:rPr>
        <w:t>返贫风险高</w:t>
      </w:r>
      <w:r>
        <w:rPr>
          <w:rFonts w:hint="eastAsia" w:ascii="仿宋_GB2312" w:hAnsi="仿宋_GB2312" w:eastAsia="仿宋_GB2312" w:cs="仿宋_GB2312"/>
        </w:rPr>
        <w:t>、农村饮水保障率低的重点地区，因地制宜</w:t>
      </w:r>
      <w:r>
        <w:rPr>
          <w:rFonts w:hint="eastAsia" w:ascii="仿宋_GB2312" w:hAnsi="仿宋_GB2312" w:eastAsia="仿宋_GB2312" w:cs="仿宋_GB2312"/>
          <w:lang w:val="en-US" w:eastAsia="zh-CN"/>
        </w:rPr>
        <w:t>地</w:t>
      </w:r>
      <w:r>
        <w:rPr>
          <w:rFonts w:hint="eastAsia" w:ascii="仿宋_GB2312" w:hAnsi="仿宋_GB2312" w:eastAsia="仿宋_GB2312" w:cs="仿宋_GB2312"/>
        </w:rPr>
        <w:t>修建引泉、截流、打井、管道输水等工程措施，保障区内农村饮水安全，规划解决1</w:t>
      </w:r>
      <w:r>
        <w:rPr>
          <w:rFonts w:hint="eastAsia" w:ascii="仿宋_GB2312" w:hAnsi="仿宋_GB2312" w:eastAsia="仿宋_GB2312" w:cs="仿宋_GB2312"/>
          <w:lang w:val="en-US" w:eastAsia="zh-CN"/>
        </w:rPr>
        <w:t>.</w:t>
      </w:r>
      <w:r>
        <w:rPr>
          <w:rFonts w:hint="eastAsia" w:ascii="仿宋_GB2312" w:hAnsi="仿宋_GB2312" w:eastAsia="仿宋_GB2312" w:cs="仿宋_GB2312"/>
        </w:rPr>
        <w:t>5万人的生活饮用水问题。</w:t>
      </w:r>
    </w:p>
    <w:p w14:paraId="3888405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（2）农业灌溉设施建设</w:t>
      </w:r>
    </w:p>
    <w:p w14:paraId="7BD64447">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主要针对位于河谷两岸和</w:t>
      </w:r>
      <w:r>
        <w:rPr>
          <w:rFonts w:hint="eastAsia" w:ascii="仿宋_GB2312" w:hAnsi="仿宋_GB2312" w:eastAsia="仿宋_GB2312" w:cs="仿宋_GB2312"/>
          <w:lang w:val="en-US" w:eastAsia="zh-CN"/>
        </w:rPr>
        <w:t>坡度</w:t>
      </w:r>
      <w:r>
        <w:rPr>
          <w:rFonts w:hint="eastAsia" w:ascii="仿宋_GB2312" w:hAnsi="仿宋_GB2312" w:eastAsia="仿宋_GB2312" w:cs="仿宋_GB2312"/>
        </w:rPr>
        <w:t>20度以下山地的集中成片旱作耕地，因地制宜</w:t>
      </w:r>
      <w:r>
        <w:rPr>
          <w:rFonts w:hint="eastAsia" w:ascii="仿宋_GB2312" w:hAnsi="仿宋_GB2312" w:eastAsia="仿宋_GB2312" w:cs="仿宋_GB2312"/>
          <w:highlight w:val="none"/>
          <w:lang w:val="en-US" w:eastAsia="zh-CN"/>
        </w:rPr>
        <w:t>地</w:t>
      </w:r>
      <w:r>
        <w:rPr>
          <w:rFonts w:hint="eastAsia" w:ascii="仿宋_GB2312" w:hAnsi="仿宋_GB2312" w:eastAsia="仿宋_GB2312" w:cs="仿宋_GB2312"/>
        </w:rPr>
        <w:t>修建引水、输水、蓄水设施，田间传统灌溉沟渠和节水灌溉设施，提高区内基本农田的抗旱能力和产量，规划建设农业灌溉面积5万亩。</w:t>
      </w:r>
    </w:p>
    <w:p w14:paraId="1D34B59C">
      <w:pPr>
        <w:pStyle w:val="27"/>
        <w:pageBreakBefore w:val="0"/>
        <w:widowControl w:val="0"/>
        <w:kinsoku/>
        <w:wordWrap/>
        <w:overflowPunct/>
        <w:topLinePunct w:val="0"/>
        <w:autoSpaceDE/>
        <w:autoSpaceDN/>
        <w:bidi w:val="0"/>
        <w:spacing w:line="576"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水利信息化监管能力建设</w:t>
      </w:r>
    </w:p>
    <w:p w14:paraId="535F377B">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（1）遥感数据接收处理平台</w:t>
      </w:r>
    </w:p>
    <w:p w14:paraId="48ED120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在昌都市，依托相关部门建设卫星遥感数据接收系统，开发针对金沙江流域西藏段的植被、河湖、积雪、水情水质、土地利用、山地灾害等生态保护相关要素和信息提取、分析的专业软件与应用平台，建立数据库（云），为开展流域水土流失动态监测、生产建设项目“天地一体化”监管、山洪灾害预警预报等生态保护相关工作提供数据支撑。</w:t>
      </w:r>
    </w:p>
    <w:p w14:paraId="4A3D843E">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（2）水土流失野外监测站点</w:t>
      </w:r>
    </w:p>
    <w:p w14:paraId="06AE7ABA">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针对金沙江流域西藏段实际情况，建设包括坡面径流场、小流域卡口堰等不同尺度和类型的水土流失监测设施，并配套监测设备，开展连续动态监测，为流域水土保护规划、治理和监管提供科学依据。</w:t>
      </w:r>
    </w:p>
    <w:p w14:paraId="1287E350">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（3）山洪灾害监测预警系统</w:t>
      </w:r>
    </w:p>
    <w:p w14:paraId="38D2092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在金沙江流域西藏段的干支流和重要乡镇周边，针对山洪、滑坡、崩塌、泥石流等灾害多发区和隐患点，布设降雨与土壤水分测量、河流水位与泥沙监测，地形位移与形变感应等实时量测、远程传输和自动存储设备，并开发专业预警预报模型和公告平台，为流域水灾害防控提供有效手段。</w:t>
      </w:r>
    </w:p>
    <w:p w14:paraId="1EE6EBBC">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（4）智慧水利决策管理系统</w:t>
      </w:r>
    </w:p>
    <w:p w14:paraId="522E630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依托相关部门建设包含金沙江流域西藏段基础水利数据信息，针对水资源、水生态、水环境、水灾害等涉水管理的数据存储、分析、查询、决策、指挥综合系统，以及面向社会公众信息公告、查询、应用的终端、软件与网站，形成水利信息“一个库”和“一张图”，大幅提升流域水利日常监管水平和应急响应能力。</w:t>
      </w:r>
    </w:p>
    <w:p w14:paraId="1DFCEF01">
      <w:pPr>
        <w:pStyle w:val="27"/>
        <w:pageBreakBefore w:val="0"/>
        <w:widowControl w:val="0"/>
        <w:kinsoku/>
        <w:wordWrap/>
        <w:overflowPunct/>
        <w:topLinePunct w:val="0"/>
        <w:autoSpaceDE/>
        <w:autoSpaceDN/>
        <w:bidi w:val="0"/>
        <w:spacing w:line="576" w:lineRule="exact"/>
        <w:ind w:firstLine="640" w:firstLineChars="200"/>
        <w:textAlignment w:val="auto"/>
        <w:rPr>
          <w:rFonts w:cs="Times New Roman"/>
        </w:rPr>
      </w:pPr>
      <w:r>
        <w:rPr>
          <w:rFonts w:hint="eastAsia" w:ascii="仿宋_GB2312" w:hAnsi="仿宋_GB2312" w:eastAsia="仿宋_GB2312" w:cs="仿宋_GB2312"/>
        </w:rPr>
        <w:t>工程总工期60个月，工程匡算总投资约50亿元，其中“十四五”期间投资</w:t>
      </w:r>
      <w:r>
        <w:rPr>
          <w:rFonts w:hint="eastAsia" w:ascii="仿宋_GB2312" w:hAnsi="仿宋_GB2312" w:eastAsia="仿宋_GB2312" w:cs="仿宋_GB2312"/>
          <w:lang w:val="en-US" w:eastAsia="zh-CN"/>
        </w:rPr>
        <w:t>0.4</w:t>
      </w:r>
      <w:r>
        <w:rPr>
          <w:rFonts w:hint="eastAsia" w:ascii="仿宋_GB2312" w:hAnsi="仿宋_GB2312" w:eastAsia="仿宋_GB2312" w:cs="仿宋_GB2312"/>
        </w:rPr>
        <w:t>亿元。</w:t>
      </w:r>
    </w:p>
    <w:p w14:paraId="57EE92E6">
      <w:pPr>
        <w:pStyle w:val="27"/>
        <w:pageBreakBefore w:val="0"/>
        <w:widowControl w:val="0"/>
        <w:kinsoku/>
        <w:wordWrap/>
        <w:overflowPunct/>
        <w:topLinePunct w:val="0"/>
        <w:autoSpaceDE/>
        <w:autoSpaceDN/>
        <w:bidi w:val="0"/>
        <w:spacing w:line="576" w:lineRule="exact"/>
        <w:ind w:firstLine="640" w:firstLineChars="200"/>
        <w:textAlignment w:val="auto"/>
        <w:rPr>
          <w:rFonts w:cs="Times New Roman"/>
        </w:rPr>
        <w:sectPr>
          <w:pgSz w:w="11906" w:h="16838"/>
          <w:pgMar w:top="2098" w:right="1474" w:bottom="1984" w:left="1531" w:header="851" w:footer="992" w:gutter="0"/>
          <w:pgNumType w:fmt="decimal"/>
          <w:cols w:space="425" w:num="1"/>
          <w:docGrid w:type="lines" w:linePitch="312" w:charSpace="0"/>
        </w:sectPr>
      </w:pPr>
    </w:p>
    <w:p w14:paraId="08C32F20">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bookmarkStart w:id="181" w:name="_Toc114063731"/>
      <w:r>
        <w:rPr>
          <w:sz w:val="32"/>
          <w:szCs w:val="48"/>
        </w:rPr>
        <w:t>十、投资匡算</w:t>
      </w:r>
      <w:bookmarkEnd w:id="181"/>
    </w:p>
    <w:p w14:paraId="5EC8BBD4">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82" w:name="_Toc78187664"/>
      <w:bookmarkStart w:id="183" w:name="_Toc113972185"/>
      <w:bookmarkStart w:id="184" w:name="_Toc78187515"/>
      <w:bookmarkStart w:id="185" w:name="_Toc114063732"/>
      <w:r>
        <w:rPr>
          <w:rFonts w:hint="eastAsia" w:ascii="楷体_GB2312" w:hAnsi="楷体_GB2312" w:eastAsia="楷体_GB2312" w:cs="楷体_GB2312"/>
          <w:b/>
          <w:bCs w:val="0"/>
          <w:sz w:val="32"/>
          <w:szCs w:val="36"/>
        </w:rPr>
        <w:t>（一）投资匡算</w:t>
      </w:r>
      <w:bookmarkEnd w:id="182"/>
      <w:bookmarkEnd w:id="183"/>
      <w:bookmarkEnd w:id="184"/>
      <w:bookmarkEnd w:id="185"/>
    </w:p>
    <w:p w14:paraId="3CF3D898">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十四五”规划共有项目70个，结合已经批准、编制完成及正在编制的相关规划、重点工程前期工作情况，考虑需求与可能，经初步匡算，昌都“十四五”水安全保障总投资为146.89亿元，“十四五”期间投资20.21亿元，重大项目投资情况详见表10-1，面上项目投资情况详见表10-2，项目具体情况详见附表1。</w:t>
      </w:r>
    </w:p>
    <w:p w14:paraId="1ED636E5">
      <w:pPr>
        <w:pStyle w:val="38"/>
        <w:ind w:left="0" w:leftChars="0" w:firstLine="0" w:firstLineChars="0"/>
        <w:jc w:val="center"/>
        <w:rPr>
          <w:rFonts w:hint="eastAsia" w:ascii="黑体" w:hAnsi="黑体" w:eastAsia="黑体" w:cs="黑体"/>
        </w:rPr>
      </w:pPr>
      <w:r>
        <w:rPr>
          <w:rFonts w:hint="eastAsia" w:ascii="黑体" w:hAnsi="黑体" w:eastAsia="黑体" w:cs="黑体"/>
        </w:rPr>
        <w:t>表10-1   昌都“十四五”期间水利投资（重大项目）</w:t>
      </w:r>
    </w:p>
    <w:tbl>
      <w:tblPr>
        <w:tblStyle w:val="20"/>
        <w:tblW w:w="9117" w:type="dxa"/>
        <w:tblInd w:w="0" w:type="dxa"/>
        <w:tblLayout w:type="fixed"/>
        <w:tblCellMar>
          <w:top w:w="0" w:type="dxa"/>
          <w:left w:w="108" w:type="dxa"/>
          <w:bottom w:w="0" w:type="dxa"/>
          <w:right w:w="108" w:type="dxa"/>
        </w:tblCellMar>
      </w:tblPr>
      <w:tblGrid>
        <w:gridCol w:w="2020"/>
        <w:gridCol w:w="3116"/>
        <w:gridCol w:w="2180"/>
        <w:gridCol w:w="1801"/>
      </w:tblGrid>
      <w:tr w14:paraId="0B3714BC">
        <w:tblPrEx>
          <w:tblCellMar>
            <w:top w:w="0" w:type="dxa"/>
            <w:left w:w="108" w:type="dxa"/>
            <w:bottom w:w="0" w:type="dxa"/>
            <w:right w:w="108" w:type="dxa"/>
          </w:tblCellMar>
        </w:tblPrEx>
        <w:trPr>
          <w:trHeight w:val="510" w:hRule="atLeast"/>
          <w:tblHeader/>
        </w:trPr>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14:paraId="40A3B241">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类  别</w:t>
            </w:r>
          </w:p>
        </w:tc>
        <w:tc>
          <w:tcPr>
            <w:tcW w:w="3116" w:type="dxa"/>
            <w:tcBorders>
              <w:top w:val="single" w:color="auto" w:sz="4" w:space="0"/>
              <w:left w:val="nil"/>
              <w:bottom w:val="single" w:color="auto" w:sz="4" w:space="0"/>
              <w:right w:val="single" w:color="auto" w:sz="4" w:space="0"/>
            </w:tcBorders>
            <w:shd w:val="clear" w:color="auto" w:fill="auto"/>
            <w:vAlign w:val="center"/>
          </w:tcPr>
          <w:p w14:paraId="3C8D475C">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工  程</w:t>
            </w:r>
          </w:p>
        </w:tc>
        <w:tc>
          <w:tcPr>
            <w:tcW w:w="2180" w:type="dxa"/>
            <w:tcBorders>
              <w:top w:val="single" w:color="auto" w:sz="4" w:space="0"/>
              <w:left w:val="nil"/>
              <w:bottom w:val="single" w:color="auto" w:sz="4" w:space="0"/>
              <w:right w:val="single" w:color="auto" w:sz="4" w:space="0"/>
            </w:tcBorders>
            <w:shd w:val="clear" w:color="auto" w:fill="auto"/>
            <w:vAlign w:val="center"/>
          </w:tcPr>
          <w:p w14:paraId="2209DAB5">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总投资</w:t>
            </w:r>
          </w:p>
          <w:p w14:paraId="1C146793">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（亿元）</w:t>
            </w:r>
          </w:p>
        </w:tc>
        <w:tc>
          <w:tcPr>
            <w:tcW w:w="1801" w:type="dxa"/>
            <w:tcBorders>
              <w:top w:val="single" w:color="auto" w:sz="4" w:space="0"/>
              <w:left w:val="nil"/>
              <w:bottom w:val="single" w:color="auto" w:sz="4" w:space="0"/>
              <w:right w:val="single" w:color="auto" w:sz="4" w:space="0"/>
            </w:tcBorders>
            <w:shd w:val="clear" w:color="auto" w:fill="auto"/>
            <w:vAlign w:val="center"/>
          </w:tcPr>
          <w:p w14:paraId="5638F809">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“十四五”投资（亿元）</w:t>
            </w:r>
          </w:p>
        </w:tc>
      </w:tr>
      <w:tr w14:paraId="7D85AA1A">
        <w:tblPrEx>
          <w:tblCellMar>
            <w:top w:w="0" w:type="dxa"/>
            <w:left w:w="108" w:type="dxa"/>
            <w:bottom w:w="0" w:type="dxa"/>
            <w:right w:w="108" w:type="dxa"/>
          </w:tblCellMar>
        </w:tblPrEx>
        <w:trPr>
          <w:trHeight w:val="510" w:hRule="atLeast"/>
        </w:trPr>
        <w:tc>
          <w:tcPr>
            <w:tcW w:w="2020" w:type="dxa"/>
            <w:tcBorders>
              <w:top w:val="nil"/>
              <w:left w:val="single" w:color="auto" w:sz="4" w:space="0"/>
              <w:bottom w:val="single" w:color="auto" w:sz="4" w:space="0"/>
              <w:right w:val="single" w:color="auto" w:sz="4" w:space="0"/>
            </w:tcBorders>
            <w:shd w:val="clear" w:color="auto" w:fill="auto"/>
            <w:vAlign w:val="center"/>
          </w:tcPr>
          <w:p w14:paraId="18173BE1">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大型水库</w:t>
            </w:r>
          </w:p>
        </w:tc>
        <w:tc>
          <w:tcPr>
            <w:tcW w:w="3116" w:type="dxa"/>
            <w:tcBorders>
              <w:top w:val="nil"/>
              <w:left w:val="nil"/>
              <w:bottom w:val="single" w:color="auto" w:sz="4" w:space="0"/>
              <w:right w:val="single" w:color="auto" w:sz="4" w:space="0"/>
            </w:tcBorders>
            <w:shd w:val="clear" w:color="auto" w:fill="auto"/>
            <w:vAlign w:val="center"/>
          </w:tcPr>
          <w:p w14:paraId="618B0300">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宗通卡水利枢纽工程</w:t>
            </w:r>
          </w:p>
        </w:tc>
        <w:tc>
          <w:tcPr>
            <w:tcW w:w="2180" w:type="dxa"/>
            <w:tcBorders>
              <w:top w:val="nil"/>
              <w:left w:val="nil"/>
              <w:bottom w:val="single" w:color="auto" w:sz="4" w:space="0"/>
              <w:right w:val="single" w:color="auto" w:sz="4" w:space="0"/>
            </w:tcBorders>
            <w:shd w:val="clear" w:color="auto" w:fill="auto"/>
            <w:vAlign w:val="center"/>
          </w:tcPr>
          <w:p w14:paraId="7EA14748">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53.46</w:t>
            </w:r>
          </w:p>
        </w:tc>
        <w:tc>
          <w:tcPr>
            <w:tcW w:w="1801" w:type="dxa"/>
            <w:tcBorders>
              <w:top w:val="nil"/>
              <w:left w:val="nil"/>
              <w:bottom w:val="single" w:color="auto" w:sz="4" w:space="0"/>
              <w:right w:val="single" w:color="auto" w:sz="4" w:space="0"/>
            </w:tcBorders>
            <w:shd w:val="clear" w:color="auto" w:fill="auto"/>
            <w:vAlign w:val="center"/>
          </w:tcPr>
          <w:p w14:paraId="3C9AA923">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w:t>
            </w:r>
          </w:p>
        </w:tc>
      </w:tr>
      <w:tr w14:paraId="15102D7C">
        <w:tblPrEx>
          <w:tblCellMar>
            <w:top w:w="0" w:type="dxa"/>
            <w:left w:w="108" w:type="dxa"/>
            <w:bottom w:w="0" w:type="dxa"/>
            <w:right w:w="108" w:type="dxa"/>
          </w:tblCellMar>
        </w:tblPrEx>
        <w:trPr>
          <w:trHeight w:val="510" w:hRule="atLeast"/>
        </w:trPr>
        <w:tc>
          <w:tcPr>
            <w:tcW w:w="2020" w:type="dxa"/>
            <w:tcBorders>
              <w:top w:val="nil"/>
              <w:left w:val="single" w:color="auto" w:sz="4" w:space="0"/>
              <w:bottom w:val="single" w:color="auto" w:sz="4" w:space="0"/>
              <w:right w:val="single" w:color="auto" w:sz="4" w:space="0"/>
            </w:tcBorders>
            <w:shd w:val="clear" w:color="auto" w:fill="auto"/>
            <w:vAlign w:val="center"/>
          </w:tcPr>
          <w:p w14:paraId="4869AE33">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水生态修复与水系治理工程</w:t>
            </w:r>
          </w:p>
        </w:tc>
        <w:tc>
          <w:tcPr>
            <w:tcW w:w="3116" w:type="dxa"/>
            <w:tcBorders>
              <w:top w:val="nil"/>
              <w:left w:val="nil"/>
              <w:bottom w:val="single" w:color="auto" w:sz="4" w:space="0"/>
              <w:right w:val="single" w:color="auto" w:sz="4" w:space="0"/>
            </w:tcBorders>
            <w:shd w:val="clear" w:color="auto" w:fill="auto"/>
            <w:vAlign w:val="center"/>
          </w:tcPr>
          <w:p w14:paraId="56FF375A">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金沙江西藏重点河段水生态保</w:t>
            </w:r>
            <w:r>
              <w:rPr>
                <w:rFonts w:hint="eastAsia" w:ascii="仿宋_GB2312" w:hAnsi="仿宋_GB2312" w:eastAsia="仿宋_GB2312" w:cs="仿宋_GB2312"/>
                <w:color w:val="000000"/>
                <w:kern w:val="0"/>
                <w:sz w:val="20"/>
                <w:szCs w:val="20"/>
                <w:lang w:eastAsia="zh-CN"/>
              </w:rPr>
              <w:t>护和</w:t>
            </w:r>
            <w:r>
              <w:rPr>
                <w:rFonts w:hint="eastAsia" w:ascii="仿宋_GB2312" w:hAnsi="仿宋_GB2312" w:eastAsia="仿宋_GB2312" w:cs="仿宋_GB2312"/>
                <w:color w:val="000000"/>
                <w:kern w:val="0"/>
                <w:sz w:val="20"/>
                <w:szCs w:val="20"/>
              </w:rPr>
              <w:t>修复工程</w:t>
            </w:r>
          </w:p>
        </w:tc>
        <w:tc>
          <w:tcPr>
            <w:tcW w:w="2180" w:type="dxa"/>
            <w:tcBorders>
              <w:top w:val="nil"/>
              <w:left w:val="nil"/>
              <w:bottom w:val="single" w:color="auto" w:sz="4" w:space="0"/>
              <w:right w:val="single" w:color="auto" w:sz="4" w:space="0"/>
            </w:tcBorders>
            <w:shd w:val="clear" w:color="auto" w:fill="auto"/>
            <w:vAlign w:val="center"/>
          </w:tcPr>
          <w:p w14:paraId="315199DE">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50</w:t>
            </w:r>
          </w:p>
        </w:tc>
        <w:tc>
          <w:tcPr>
            <w:tcW w:w="1801" w:type="dxa"/>
            <w:tcBorders>
              <w:top w:val="nil"/>
              <w:left w:val="nil"/>
              <w:bottom w:val="single" w:color="auto" w:sz="4" w:space="0"/>
              <w:right w:val="single" w:color="auto" w:sz="4" w:space="0"/>
            </w:tcBorders>
            <w:shd w:val="clear" w:color="auto" w:fill="auto"/>
            <w:vAlign w:val="center"/>
          </w:tcPr>
          <w:p w14:paraId="7F042206">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0.4</w:t>
            </w:r>
          </w:p>
        </w:tc>
      </w:tr>
      <w:tr w14:paraId="01951EE7">
        <w:tblPrEx>
          <w:tblCellMar>
            <w:top w:w="0" w:type="dxa"/>
            <w:left w:w="108" w:type="dxa"/>
            <w:bottom w:w="0" w:type="dxa"/>
            <w:right w:w="108" w:type="dxa"/>
          </w:tblCellMar>
        </w:tblPrEx>
        <w:trPr>
          <w:trHeight w:val="510" w:hRule="atLeast"/>
        </w:trPr>
        <w:tc>
          <w:tcPr>
            <w:tcW w:w="513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6231E3">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合计</w:t>
            </w:r>
          </w:p>
        </w:tc>
        <w:tc>
          <w:tcPr>
            <w:tcW w:w="2180" w:type="dxa"/>
            <w:tcBorders>
              <w:top w:val="nil"/>
              <w:left w:val="nil"/>
              <w:bottom w:val="single" w:color="auto" w:sz="4" w:space="0"/>
              <w:right w:val="single" w:color="auto" w:sz="4" w:space="0"/>
            </w:tcBorders>
            <w:shd w:val="clear" w:color="auto" w:fill="auto"/>
            <w:vAlign w:val="center"/>
          </w:tcPr>
          <w:p w14:paraId="634FC1BC">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103.46</w:t>
            </w:r>
          </w:p>
        </w:tc>
        <w:tc>
          <w:tcPr>
            <w:tcW w:w="1801" w:type="dxa"/>
            <w:tcBorders>
              <w:top w:val="nil"/>
              <w:left w:val="nil"/>
              <w:bottom w:val="single" w:color="auto" w:sz="4" w:space="0"/>
              <w:right w:val="single" w:color="auto" w:sz="4" w:space="0"/>
            </w:tcBorders>
            <w:shd w:val="clear" w:color="auto" w:fill="auto"/>
            <w:vAlign w:val="center"/>
          </w:tcPr>
          <w:p w14:paraId="01729029">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1.40</w:t>
            </w:r>
          </w:p>
        </w:tc>
      </w:tr>
    </w:tbl>
    <w:p w14:paraId="7F993DB2">
      <w:pPr>
        <w:pStyle w:val="38"/>
        <w:ind w:firstLine="1200"/>
        <w:rPr>
          <w:rFonts w:cs="Times New Roman"/>
        </w:rPr>
      </w:pPr>
      <w:r>
        <w:rPr>
          <w:rFonts w:hint="eastAsia" w:cs="Times New Roman"/>
          <w:lang w:val="en-US" w:eastAsia="zh-CN"/>
        </w:rPr>
        <w:t xml:space="preserve">  </w:t>
      </w:r>
      <w:r>
        <w:rPr>
          <w:rFonts w:hint="eastAsia" w:ascii="黑体" w:hAnsi="黑体" w:eastAsia="黑体" w:cs="黑体"/>
          <w:lang w:val="en-US" w:eastAsia="zh-CN"/>
        </w:rPr>
        <w:t xml:space="preserve"> </w:t>
      </w:r>
      <w:r>
        <w:rPr>
          <w:rFonts w:hint="eastAsia" w:ascii="黑体" w:hAnsi="黑体" w:eastAsia="黑体" w:cs="黑体"/>
        </w:rPr>
        <w:t>表10-2   昌都“十四五”期间水利投资（面上项目）</w:t>
      </w:r>
    </w:p>
    <w:tbl>
      <w:tblPr>
        <w:tblStyle w:val="20"/>
        <w:tblW w:w="8919" w:type="dxa"/>
        <w:tblInd w:w="62" w:type="dxa"/>
        <w:tblLayout w:type="fixed"/>
        <w:tblCellMar>
          <w:top w:w="0" w:type="dxa"/>
          <w:left w:w="51" w:type="dxa"/>
          <w:bottom w:w="0" w:type="dxa"/>
          <w:right w:w="51" w:type="dxa"/>
        </w:tblCellMar>
      </w:tblPr>
      <w:tblGrid>
        <w:gridCol w:w="1489"/>
        <w:gridCol w:w="3394"/>
        <w:gridCol w:w="1186"/>
        <w:gridCol w:w="1309"/>
        <w:gridCol w:w="1541"/>
      </w:tblGrid>
      <w:tr w14:paraId="57DB9BED">
        <w:tblPrEx>
          <w:tblCellMar>
            <w:top w:w="0" w:type="dxa"/>
            <w:left w:w="51" w:type="dxa"/>
            <w:bottom w:w="0" w:type="dxa"/>
            <w:right w:w="51" w:type="dxa"/>
          </w:tblCellMar>
        </w:tblPrEx>
        <w:trPr>
          <w:trHeight w:val="397" w:hRule="atLeast"/>
          <w:tblHeader/>
        </w:trPr>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14:paraId="11E503DE">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一级分类</w:t>
            </w:r>
          </w:p>
        </w:tc>
        <w:tc>
          <w:tcPr>
            <w:tcW w:w="3394" w:type="dxa"/>
            <w:tcBorders>
              <w:top w:val="single" w:color="auto" w:sz="4" w:space="0"/>
              <w:left w:val="nil"/>
              <w:bottom w:val="single" w:color="auto" w:sz="4" w:space="0"/>
              <w:right w:val="single" w:color="auto" w:sz="4" w:space="0"/>
            </w:tcBorders>
            <w:shd w:val="clear" w:color="auto" w:fill="auto"/>
            <w:vAlign w:val="center"/>
          </w:tcPr>
          <w:p w14:paraId="0030DE1C">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二级分类</w:t>
            </w:r>
          </w:p>
        </w:tc>
        <w:tc>
          <w:tcPr>
            <w:tcW w:w="1186" w:type="dxa"/>
            <w:tcBorders>
              <w:top w:val="single" w:color="auto" w:sz="4" w:space="0"/>
              <w:left w:val="nil"/>
              <w:bottom w:val="single" w:color="auto" w:sz="4" w:space="0"/>
              <w:right w:val="single" w:color="auto" w:sz="4" w:space="0"/>
            </w:tcBorders>
            <w:shd w:val="clear" w:color="auto" w:fill="auto"/>
            <w:vAlign w:val="center"/>
          </w:tcPr>
          <w:p w14:paraId="10B76851">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项目数量（个、处）</w:t>
            </w:r>
          </w:p>
        </w:tc>
        <w:tc>
          <w:tcPr>
            <w:tcW w:w="1309" w:type="dxa"/>
            <w:tcBorders>
              <w:top w:val="single" w:color="auto" w:sz="4" w:space="0"/>
              <w:left w:val="nil"/>
              <w:bottom w:val="single" w:color="auto" w:sz="4" w:space="0"/>
              <w:right w:val="single" w:color="auto" w:sz="4" w:space="0"/>
            </w:tcBorders>
            <w:shd w:val="clear" w:color="auto" w:fill="auto"/>
            <w:vAlign w:val="center"/>
          </w:tcPr>
          <w:p w14:paraId="40135575">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总投资</w:t>
            </w:r>
          </w:p>
          <w:p w14:paraId="6246468E">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（亿元）</w:t>
            </w:r>
          </w:p>
        </w:tc>
        <w:tc>
          <w:tcPr>
            <w:tcW w:w="1541" w:type="dxa"/>
            <w:tcBorders>
              <w:top w:val="single" w:color="auto" w:sz="4" w:space="0"/>
              <w:left w:val="nil"/>
              <w:bottom w:val="single" w:color="auto" w:sz="4" w:space="0"/>
              <w:right w:val="single" w:color="auto" w:sz="4" w:space="0"/>
            </w:tcBorders>
            <w:shd w:val="clear" w:color="auto" w:fill="auto"/>
            <w:vAlign w:val="center"/>
          </w:tcPr>
          <w:p w14:paraId="52167120">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“十四五”投资（亿元）</w:t>
            </w:r>
          </w:p>
        </w:tc>
      </w:tr>
      <w:tr w14:paraId="7CD7D920">
        <w:tblPrEx>
          <w:tblCellMar>
            <w:top w:w="0" w:type="dxa"/>
            <w:left w:w="51" w:type="dxa"/>
            <w:bottom w:w="0" w:type="dxa"/>
            <w:right w:w="51" w:type="dxa"/>
          </w:tblCellMar>
        </w:tblPrEx>
        <w:trPr>
          <w:trHeight w:val="397" w:hRule="atLeast"/>
        </w:trPr>
        <w:tc>
          <w:tcPr>
            <w:tcW w:w="1489" w:type="dxa"/>
            <w:vMerge w:val="restart"/>
            <w:tcBorders>
              <w:top w:val="nil"/>
              <w:left w:val="single" w:color="auto" w:sz="4" w:space="0"/>
              <w:bottom w:val="single" w:color="auto" w:sz="4" w:space="0"/>
              <w:right w:val="single" w:color="auto" w:sz="4" w:space="0"/>
            </w:tcBorders>
            <w:shd w:val="clear" w:color="auto" w:fill="auto"/>
            <w:vAlign w:val="center"/>
          </w:tcPr>
          <w:p w14:paraId="7F76BCB0">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一、供水保障能力建设工程</w:t>
            </w:r>
          </w:p>
        </w:tc>
        <w:tc>
          <w:tcPr>
            <w:tcW w:w="3394" w:type="dxa"/>
            <w:tcBorders>
              <w:top w:val="nil"/>
              <w:left w:val="nil"/>
              <w:bottom w:val="single" w:color="auto" w:sz="4" w:space="0"/>
              <w:right w:val="single" w:color="auto" w:sz="4" w:space="0"/>
            </w:tcBorders>
            <w:shd w:val="clear" w:color="auto" w:fill="auto"/>
            <w:vAlign w:val="center"/>
          </w:tcPr>
          <w:p w14:paraId="4397FECC">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中小型水库</w:t>
            </w:r>
          </w:p>
        </w:tc>
        <w:tc>
          <w:tcPr>
            <w:tcW w:w="1186" w:type="dxa"/>
            <w:tcBorders>
              <w:top w:val="nil"/>
              <w:left w:val="nil"/>
              <w:bottom w:val="single" w:color="auto" w:sz="4" w:space="0"/>
              <w:right w:val="single" w:color="auto" w:sz="4" w:space="0"/>
            </w:tcBorders>
            <w:shd w:val="clear" w:color="auto" w:fill="auto"/>
            <w:vAlign w:val="center"/>
          </w:tcPr>
          <w:p w14:paraId="18FD08DD">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w:t>
            </w:r>
          </w:p>
        </w:tc>
        <w:tc>
          <w:tcPr>
            <w:tcW w:w="1309" w:type="dxa"/>
            <w:tcBorders>
              <w:top w:val="nil"/>
              <w:left w:val="nil"/>
              <w:bottom w:val="single" w:color="auto" w:sz="4" w:space="0"/>
              <w:right w:val="single" w:color="auto" w:sz="4" w:space="0"/>
            </w:tcBorders>
            <w:shd w:val="clear" w:color="auto" w:fill="auto"/>
            <w:vAlign w:val="center"/>
          </w:tcPr>
          <w:p w14:paraId="7DE62E03">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19.09</w:t>
            </w:r>
          </w:p>
        </w:tc>
        <w:tc>
          <w:tcPr>
            <w:tcW w:w="1541" w:type="dxa"/>
            <w:tcBorders>
              <w:top w:val="nil"/>
              <w:left w:val="nil"/>
              <w:bottom w:val="single" w:color="auto" w:sz="4" w:space="0"/>
              <w:right w:val="single" w:color="auto" w:sz="4" w:space="0"/>
            </w:tcBorders>
            <w:shd w:val="clear" w:color="auto" w:fill="auto"/>
            <w:vAlign w:val="center"/>
          </w:tcPr>
          <w:p w14:paraId="02F668E5">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5.74</w:t>
            </w:r>
          </w:p>
        </w:tc>
      </w:tr>
      <w:tr w14:paraId="2E39374A">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1B57BEB3">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1AEAC108">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城市饮用水源地工程</w:t>
            </w:r>
          </w:p>
        </w:tc>
        <w:tc>
          <w:tcPr>
            <w:tcW w:w="1186" w:type="dxa"/>
            <w:tcBorders>
              <w:top w:val="nil"/>
              <w:left w:val="nil"/>
              <w:bottom w:val="single" w:color="auto" w:sz="4" w:space="0"/>
              <w:right w:val="single" w:color="auto" w:sz="4" w:space="0"/>
            </w:tcBorders>
            <w:shd w:val="clear" w:color="auto" w:fill="auto"/>
            <w:vAlign w:val="center"/>
          </w:tcPr>
          <w:p w14:paraId="679304FF">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w:t>
            </w:r>
          </w:p>
        </w:tc>
        <w:tc>
          <w:tcPr>
            <w:tcW w:w="1309" w:type="dxa"/>
            <w:tcBorders>
              <w:top w:val="nil"/>
              <w:left w:val="nil"/>
              <w:bottom w:val="single" w:color="auto" w:sz="4" w:space="0"/>
              <w:right w:val="single" w:color="auto" w:sz="4" w:space="0"/>
            </w:tcBorders>
            <w:shd w:val="clear" w:color="auto" w:fill="auto"/>
            <w:vAlign w:val="center"/>
          </w:tcPr>
          <w:p w14:paraId="38173008">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0.80</w:t>
            </w:r>
          </w:p>
        </w:tc>
        <w:tc>
          <w:tcPr>
            <w:tcW w:w="1541" w:type="dxa"/>
            <w:tcBorders>
              <w:top w:val="nil"/>
              <w:left w:val="nil"/>
              <w:bottom w:val="single" w:color="auto" w:sz="4" w:space="0"/>
              <w:right w:val="single" w:color="auto" w:sz="4" w:space="0"/>
            </w:tcBorders>
            <w:shd w:val="clear" w:color="auto" w:fill="auto"/>
            <w:vAlign w:val="center"/>
          </w:tcPr>
          <w:p w14:paraId="2AF5A276">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0.20</w:t>
            </w:r>
          </w:p>
        </w:tc>
      </w:tr>
      <w:tr w14:paraId="62E1CF31">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0113366E">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52EB97EF">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重点灌区与节水增效工程</w:t>
            </w:r>
          </w:p>
        </w:tc>
        <w:tc>
          <w:tcPr>
            <w:tcW w:w="1186" w:type="dxa"/>
            <w:tcBorders>
              <w:top w:val="nil"/>
              <w:left w:val="nil"/>
              <w:bottom w:val="single" w:color="auto" w:sz="4" w:space="0"/>
              <w:right w:val="single" w:color="auto" w:sz="4" w:space="0"/>
            </w:tcBorders>
            <w:shd w:val="clear" w:color="auto" w:fill="auto"/>
            <w:vAlign w:val="center"/>
          </w:tcPr>
          <w:p w14:paraId="6A58FB41">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9</w:t>
            </w:r>
          </w:p>
        </w:tc>
        <w:tc>
          <w:tcPr>
            <w:tcW w:w="1309" w:type="dxa"/>
            <w:tcBorders>
              <w:top w:val="nil"/>
              <w:left w:val="nil"/>
              <w:bottom w:val="single" w:color="auto" w:sz="4" w:space="0"/>
              <w:right w:val="single" w:color="auto" w:sz="4" w:space="0"/>
            </w:tcBorders>
            <w:shd w:val="clear" w:color="auto" w:fill="auto"/>
            <w:vAlign w:val="center"/>
          </w:tcPr>
          <w:p w14:paraId="2EA5C741">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11.66</w:t>
            </w:r>
          </w:p>
        </w:tc>
        <w:tc>
          <w:tcPr>
            <w:tcW w:w="1541" w:type="dxa"/>
            <w:tcBorders>
              <w:top w:val="nil"/>
              <w:left w:val="nil"/>
              <w:bottom w:val="single" w:color="auto" w:sz="4" w:space="0"/>
              <w:right w:val="single" w:color="auto" w:sz="4" w:space="0"/>
            </w:tcBorders>
            <w:shd w:val="clear" w:color="auto" w:fill="auto"/>
            <w:vAlign w:val="center"/>
          </w:tcPr>
          <w:p w14:paraId="2DBE4566">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1.56</w:t>
            </w:r>
          </w:p>
        </w:tc>
      </w:tr>
      <w:tr w14:paraId="0B1A2C1C">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004DEE1B">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418A271D">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草场灌溉工程</w:t>
            </w:r>
          </w:p>
        </w:tc>
        <w:tc>
          <w:tcPr>
            <w:tcW w:w="1186" w:type="dxa"/>
            <w:tcBorders>
              <w:top w:val="nil"/>
              <w:left w:val="nil"/>
              <w:bottom w:val="single" w:color="auto" w:sz="4" w:space="0"/>
              <w:right w:val="single" w:color="auto" w:sz="4" w:space="0"/>
            </w:tcBorders>
            <w:shd w:val="clear" w:color="auto" w:fill="auto"/>
            <w:vAlign w:val="center"/>
          </w:tcPr>
          <w:p w14:paraId="0990CA3A">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w:t>
            </w:r>
          </w:p>
        </w:tc>
        <w:tc>
          <w:tcPr>
            <w:tcW w:w="1309" w:type="dxa"/>
            <w:tcBorders>
              <w:top w:val="nil"/>
              <w:left w:val="nil"/>
              <w:bottom w:val="single" w:color="auto" w:sz="4" w:space="0"/>
              <w:right w:val="single" w:color="auto" w:sz="4" w:space="0"/>
            </w:tcBorders>
            <w:shd w:val="clear" w:color="auto" w:fill="auto"/>
            <w:vAlign w:val="center"/>
          </w:tcPr>
          <w:p w14:paraId="125AE293">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0.35</w:t>
            </w:r>
          </w:p>
        </w:tc>
        <w:tc>
          <w:tcPr>
            <w:tcW w:w="1541" w:type="dxa"/>
            <w:tcBorders>
              <w:top w:val="nil"/>
              <w:left w:val="nil"/>
              <w:bottom w:val="single" w:color="auto" w:sz="4" w:space="0"/>
              <w:right w:val="single" w:color="auto" w:sz="4" w:space="0"/>
            </w:tcBorders>
            <w:shd w:val="clear" w:color="auto" w:fill="auto"/>
            <w:vAlign w:val="center"/>
          </w:tcPr>
          <w:p w14:paraId="0C47941E">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0.17</w:t>
            </w:r>
          </w:p>
        </w:tc>
      </w:tr>
      <w:tr w14:paraId="6E096A0D">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38B938F3">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6213EAEB">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小计</w:t>
            </w:r>
          </w:p>
        </w:tc>
        <w:tc>
          <w:tcPr>
            <w:tcW w:w="1186" w:type="dxa"/>
            <w:tcBorders>
              <w:top w:val="nil"/>
              <w:left w:val="nil"/>
              <w:bottom w:val="single" w:color="auto" w:sz="4" w:space="0"/>
              <w:right w:val="single" w:color="auto" w:sz="4" w:space="0"/>
            </w:tcBorders>
            <w:shd w:val="clear" w:color="auto" w:fill="auto"/>
            <w:vAlign w:val="center"/>
          </w:tcPr>
          <w:p w14:paraId="48C1929C">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18</w:t>
            </w:r>
          </w:p>
        </w:tc>
        <w:tc>
          <w:tcPr>
            <w:tcW w:w="1309" w:type="dxa"/>
            <w:tcBorders>
              <w:top w:val="nil"/>
              <w:left w:val="nil"/>
              <w:bottom w:val="single" w:color="auto" w:sz="4" w:space="0"/>
              <w:right w:val="single" w:color="auto" w:sz="4" w:space="0"/>
            </w:tcBorders>
            <w:shd w:val="clear" w:color="auto" w:fill="auto"/>
            <w:vAlign w:val="center"/>
          </w:tcPr>
          <w:p w14:paraId="68CA6485">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31.89</w:t>
            </w:r>
          </w:p>
        </w:tc>
        <w:tc>
          <w:tcPr>
            <w:tcW w:w="1541" w:type="dxa"/>
            <w:tcBorders>
              <w:top w:val="nil"/>
              <w:left w:val="nil"/>
              <w:bottom w:val="single" w:color="auto" w:sz="4" w:space="0"/>
              <w:right w:val="single" w:color="auto" w:sz="4" w:space="0"/>
            </w:tcBorders>
            <w:shd w:val="clear" w:color="auto" w:fill="auto"/>
            <w:vAlign w:val="center"/>
          </w:tcPr>
          <w:p w14:paraId="06869204">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7.68</w:t>
            </w:r>
          </w:p>
        </w:tc>
      </w:tr>
      <w:tr w14:paraId="74252811">
        <w:tblPrEx>
          <w:tblCellMar>
            <w:top w:w="0" w:type="dxa"/>
            <w:left w:w="51" w:type="dxa"/>
            <w:bottom w:w="0" w:type="dxa"/>
            <w:right w:w="51" w:type="dxa"/>
          </w:tblCellMar>
        </w:tblPrEx>
        <w:trPr>
          <w:trHeight w:val="397" w:hRule="atLeast"/>
        </w:trPr>
        <w:tc>
          <w:tcPr>
            <w:tcW w:w="1489" w:type="dxa"/>
            <w:vMerge w:val="restart"/>
            <w:tcBorders>
              <w:top w:val="nil"/>
              <w:left w:val="single" w:color="auto" w:sz="4" w:space="0"/>
              <w:bottom w:val="single" w:color="auto" w:sz="4" w:space="0"/>
              <w:right w:val="single" w:color="auto" w:sz="4" w:space="0"/>
            </w:tcBorders>
            <w:shd w:val="clear" w:color="auto" w:fill="auto"/>
            <w:vAlign w:val="center"/>
          </w:tcPr>
          <w:p w14:paraId="4E93DF59">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二、防洪提升工程</w:t>
            </w:r>
          </w:p>
        </w:tc>
        <w:tc>
          <w:tcPr>
            <w:tcW w:w="3394" w:type="dxa"/>
            <w:tcBorders>
              <w:top w:val="nil"/>
              <w:left w:val="nil"/>
              <w:bottom w:val="single" w:color="auto" w:sz="4" w:space="0"/>
              <w:right w:val="single" w:color="auto" w:sz="4" w:space="0"/>
            </w:tcBorders>
            <w:shd w:val="clear" w:color="auto" w:fill="auto"/>
            <w:vAlign w:val="center"/>
          </w:tcPr>
          <w:p w14:paraId="554CC451">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3000平方公里以上中小河流治理</w:t>
            </w:r>
          </w:p>
        </w:tc>
        <w:tc>
          <w:tcPr>
            <w:tcW w:w="1186" w:type="dxa"/>
            <w:tcBorders>
              <w:top w:val="nil"/>
              <w:left w:val="nil"/>
              <w:bottom w:val="single" w:color="auto" w:sz="4" w:space="0"/>
              <w:right w:val="single" w:color="auto" w:sz="4" w:space="0"/>
            </w:tcBorders>
            <w:shd w:val="clear" w:color="auto" w:fill="auto"/>
            <w:vAlign w:val="center"/>
          </w:tcPr>
          <w:p w14:paraId="4AB5E4B5">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9</w:t>
            </w:r>
          </w:p>
        </w:tc>
        <w:tc>
          <w:tcPr>
            <w:tcW w:w="1309" w:type="dxa"/>
            <w:tcBorders>
              <w:top w:val="nil"/>
              <w:left w:val="nil"/>
              <w:bottom w:val="single" w:color="auto" w:sz="4" w:space="0"/>
              <w:right w:val="single" w:color="auto" w:sz="4" w:space="0"/>
            </w:tcBorders>
            <w:shd w:val="clear" w:color="auto" w:fill="auto"/>
            <w:vAlign w:val="center"/>
          </w:tcPr>
          <w:p w14:paraId="0085D5AF">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3.16</w:t>
            </w:r>
          </w:p>
        </w:tc>
        <w:tc>
          <w:tcPr>
            <w:tcW w:w="1541" w:type="dxa"/>
            <w:tcBorders>
              <w:top w:val="nil"/>
              <w:left w:val="nil"/>
              <w:bottom w:val="single" w:color="auto" w:sz="4" w:space="0"/>
              <w:right w:val="single" w:color="auto" w:sz="4" w:space="0"/>
            </w:tcBorders>
            <w:shd w:val="clear" w:color="auto" w:fill="auto"/>
            <w:vAlign w:val="center"/>
          </w:tcPr>
          <w:p w14:paraId="24078904">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3.16</w:t>
            </w:r>
          </w:p>
        </w:tc>
      </w:tr>
      <w:tr w14:paraId="65C09272">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127AC38B">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14443D34">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200-3000平方公里小河流域治理</w:t>
            </w:r>
          </w:p>
        </w:tc>
        <w:tc>
          <w:tcPr>
            <w:tcW w:w="1186" w:type="dxa"/>
            <w:tcBorders>
              <w:top w:val="nil"/>
              <w:left w:val="nil"/>
              <w:bottom w:val="single" w:color="auto" w:sz="4" w:space="0"/>
              <w:right w:val="single" w:color="auto" w:sz="4" w:space="0"/>
            </w:tcBorders>
            <w:shd w:val="clear" w:color="auto" w:fill="auto"/>
            <w:vAlign w:val="center"/>
          </w:tcPr>
          <w:p w14:paraId="602D0D2C">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24</w:t>
            </w:r>
          </w:p>
        </w:tc>
        <w:tc>
          <w:tcPr>
            <w:tcW w:w="1309" w:type="dxa"/>
            <w:tcBorders>
              <w:top w:val="nil"/>
              <w:left w:val="nil"/>
              <w:bottom w:val="single" w:color="auto" w:sz="4" w:space="0"/>
              <w:right w:val="single" w:color="auto" w:sz="4" w:space="0"/>
            </w:tcBorders>
            <w:shd w:val="clear" w:color="auto" w:fill="auto"/>
            <w:vAlign w:val="center"/>
          </w:tcPr>
          <w:p w14:paraId="6A657506">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4.35</w:t>
            </w:r>
          </w:p>
        </w:tc>
        <w:tc>
          <w:tcPr>
            <w:tcW w:w="1541" w:type="dxa"/>
            <w:tcBorders>
              <w:top w:val="nil"/>
              <w:left w:val="nil"/>
              <w:bottom w:val="single" w:color="auto" w:sz="4" w:space="0"/>
              <w:right w:val="single" w:color="auto" w:sz="4" w:space="0"/>
            </w:tcBorders>
            <w:shd w:val="clear" w:color="auto" w:fill="auto"/>
            <w:vAlign w:val="center"/>
          </w:tcPr>
          <w:p w14:paraId="0C513831">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4.18</w:t>
            </w:r>
          </w:p>
        </w:tc>
      </w:tr>
      <w:tr w14:paraId="23EB0DC9">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06C7350D">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25607A7D">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山洪灾害防治</w:t>
            </w:r>
          </w:p>
        </w:tc>
        <w:tc>
          <w:tcPr>
            <w:tcW w:w="1186" w:type="dxa"/>
            <w:tcBorders>
              <w:top w:val="nil"/>
              <w:left w:val="nil"/>
              <w:bottom w:val="single" w:color="auto" w:sz="4" w:space="0"/>
              <w:right w:val="single" w:color="auto" w:sz="4" w:space="0"/>
            </w:tcBorders>
            <w:shd w:val="clear" w:color="auto" w:fill="auto"/>
            <w:vAlign w:val="center"/>
          </w:tcPr>
          <w:p w14:paraId="73071C89">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7</w:t>
            </w:r>
          </w:p>
        </w:tc>
        <w:tc>
          <w:tcPr>
            <w:tcW w:w="1309" w:type="dxa"/>
            <w:tcBorders>
              <w:top w:val="nil"/>
              <w:left w:val="nil"/>
              <w:bottom w:val="single" w:color="auto" w:sz="4" w:space="0"/>
              <w:right w:val="single" w:color="auto" w:sz="4" w:space="0"/>
            </w:tcBorders>
            <w:shd w:val="clear" w:color="auto" w:fill="auto"/>
            <w:vAlign w:val="center"/>
          </w:tcPr>
          <w:p w14:paraId="469206CC">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0.67</w:t>
            </w:r>
          </w:p>
        </w:tc>
        <w:tc>
          <w:tcPr>
            <w:tcW w:w="1541" w:type="dxa"/>
            <w:tcBorders>
              <w:top w:val="nil"/>
              <w:left w:val="nil"/>
              <w:bottom w:val="single" w:color="auto" w:sz="4" w:space="0"/>
              <w:right w:val="single" w:color="auto" w:sz="4" w:space="0"/>
            </w:tcBorders>
            <w:shd w:val="clear" w:color="auto" w:fill="auto"/>
            <w:vAlign w:val="center"/>
          </w:tcPr>
          <w:p w14:paraId="72FE9285">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0.67</w:t>
            </w:r>
          </w:p>
        </w:tc>
      </w:tr>
      <w:tr w14:paraId="6712E9EF">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6428F045">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77B08339">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城市防洪工程</w:t>
            </w:r>
          </w:p>
        </w:tc>
        <w:tc>
          <w:tcPr>
            <w:tcW w:w="1186" w:type="dxa"/>
            <w:tcBorders>
              <w:top w:val="nil"/>
              <w:left w:val="nil"/>
              <w:bottom w:val="single" w:color="auto" w:sz="4" w:space="0"/>
              <w:right w:val="single" w:color="auto" w:sz="4" w:space="0"/>
            </w:tcBorders>
            <w:shd w:val="clear" w:color="auto" w:fill="auto"/>
            <w:vAlign w:val="center"/>
          </w:tcPr>
          <w:p w14:paraId="183644FC">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4</w:t>
            </w:r>
          </w:p>
        </w:tc>
        <w:tc>
          <w:tcPr>
            <w:tcW w:w="1309" w:type="dxa"/>
            <w:tcBorders>
              <w:top w:val="nil"/>
              <w:left w:val="nil"/>
              <w:bottom w:val="single" w:color="auto" w:sz="4" w:space="0"/>
              <w:right w:val="single" w:color="auto" w:sz="4" w:space="0"/>
            </w:tcBorders>
            <w:shd w:val="clear" w:color="auto" w:fill="auto"/>
            <w:vAlign w:val="center"/>
          </w:tcPr>
          <w:p w14:paraId="6E1AE139">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1.69</w:t>
            </w:r>
          </w:p>
        </w:tc>
        <w:tc>
          <w:tcPr>
            <w:tcW w:w="1541" w:type="dxa"/>
            <w:tcBorders>
              <w:top w:val="nil"/>
              <w:left w:val="nil"/>
              <w:bottom w:val="single" w:color="auto" w:sz="4" w:space="0"/>
              <w:right w:val="single" w:color="auto" w:sz="4" w:space="0"/>
            </w:tcBorders>
            <w:shd w:val="clear" w:color="auto" w:fill="auto"/>
            <w:vAlign w:val="center"/>
          </w:tcPr>
          <w:p w14:paraId="0D232D9F">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1.45</w:t>
            </w:r>
          </w:p>
        </w:tc>
      </w:tr>
      <w:tr w14:paraId="089BB41B">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649C9BC3">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6E59AB49">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小计</w:t>
            </w:r>
          </w:p>
        </w:tc>
        <w:tc>
          <w:tcPr>
            <w:tcW w:w="1186" w:type="dxa"/>
            <w:tcBorders>
              <w:top w:val="nil"/>
              <w:left w:val="nil"/>
              <w:bottom w:val="single" w:color="auto" w:sz="4" w:space="0"/>
              <w:right w:val="single" w:color="auto" w:sz="4" w:space="0"/>
            </w:tcBorders>
            <w:shd w:val="clear" w:color="auto" w:fill="auto"/>
            <w:vAlign w:val="center"/>
          </w:tcPr>
          <w:p w14:paraId="180D2F57">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44</w:t>
            </w:r>
          </w:p>
        </w:tc>
        <w:tc>
          <w:tcPr>
            <w:tcW w:w="1309" w:type="dxa"/>
            <w:tcBorders>
              <w:top w:val="nil"/>
              <w:left w:val="nil"/>
              <w:bottom w:val="single" w:color="auto" w:sz="4" w:space="0"/>
              <w:right w:val="single" w:color="auto" w:sz="4" w:space="0"/>
            </w:tcBorders>
            <w:shd w:val="clear" w:color="auto" w:fill="auto"/>
            <w:vAlign w:val="center"/>
          </w:tcPr>
          <w:p w14:paraId="6760BAC3">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9.86</w:t>
            </w:r>
          </w:p>
        </w:tc>
        <w:tc>
          <w:tcPr>
            <w:tcW w:w="1541" w:type="dxa"/>
            <w:tcBorders>
              <w:top w:val="nil"/>
              <w:left w:val="nil"/>
              <w:bottom w:val="single" w:color="auto" w:sz="4" w:space="0"/>
              <w:right w:val="single" w:color="auto" w:sz="4" w:space="0"/>
            </w:tcBorders>
            <w:shd w:val="clear" w:color="auto" w:fill="auto"/>
            <w:vAlign w:val="center"/>
          </w:tcPr>
          <w:p w14:paraId="32A373BD">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9.46</w:t>
            </w:r>
          </w:p>
        </w:tc>
      </w:tr>
      <w:tr w14:paraId="3C81BD7D">
        <w:tblPrEx>
          <w:tblCellMar>
            <w:top w:w="0" w:type="dxa"/>
            <w:left w:w="51" w:type="dxa"/>
            <w:bottom w:w="0" w:type="dxa"/>
            <w:right w:w="51" w:type="dxa"/>
          </w:tblCellMar>
        </w:tblPrEx>
        <w:trPr>
          <w:trHeight w:val="397" w:hRule="atLeast"/>
        </w:trPr>
        <w:tc>
          <w:tcPr>
            <w:tcW w:w="1489" w:type="dxa"/>
            <w:vMerge w:val="restart"/>
            <w:tcBorders>
              <w:top w:val="nil"/>
              <w:left w:val="single" w:color="auto" w:sz="4" w:space="0"/>
              <w:bottom w:val="single" w:color="auto" w:sz="4" w:space="0"/>
              <w:right w:val="single" w:color="auto" w:sz="4" w:space="0"/>
            </w:tcBorders>
            <w:shd w:val="clear" w:color="auto" w:fill="auto"/>
            <w:vAlign w:val="center"/>
          </w:tcPr>
          <w:p w14:paraId="56F00381">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三、水生态修复与水系治理工程</w:t>
            </w:r>
          </w:p>
        </w:tc>
        <w:tc>
          <w:tcPr>
            <w:tcW w:w="3394" w:type="dxa"/>
            <w:tcBorders>
              <w:top w:val="nil"/>
              <w:left w:val="nil"/>
              <w:bottom w:val="single" w:color="auto" w:sz="4" w:space="0"/>
              <w:right w:val="single" w:color="auto" w:sz="4" w:space="0"/>
            </w:tcBorders>
            <w:shd w:val="clear" w:color="auto" w:fill="auto"/>
            <w:vAlign w:val="center"/>
          </w:tcPr>
          <w:p w14:paraId="2A95980A">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水土流失治理</w:t>
            </w:r>
          </w:p>
        </w:tc>
        <w:tc>
          <w:tcPr>
            <w:tcW w:w="1186" w:type="dxa"/>
            <w:tcBorders>
              <w:top w:val="nil"/>
              <w:left w:val="nil"/>
              <w:bottom w:val="single" w:color="auto" w:sz="4" w:space="0"/>
              <w:right w:val="single" w:color="auto" w:sz="4" w:space="0"/>
            </w:tcBorders>
            <w:shd w:val="clear" w:color="auto" w:fill="auto"/>
            <w:vAlign w:val="center"/>
          </w:tcPr>
          <w:p w14:paraId="40F3B385">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5</w:t>
            </w:r>
          </w:p>
        </w:tc>
        <w:tc>
          <w:tcPr>
            <w:tcW w:w="1309" w:type="dxa"/>
            <w:tcBorders>
              <w:top w:val="nil"/>
              <w:left w:val="nil"/>
              <w:bottom w:val="single" w:color="auto" w:sz="4" w:space="0"/>
              <w:right w:val="single" w:color="auto" w:sz="4" w:space="0"/>
            </w:tcBorders>
            <w:shd w:val="clear" w:color="auto" w:fill="auto"/>
            <w:vAlign w:val="center"/>
          </w:tcPr>
          <w:p w14:paraId="00296F9C">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1.10</w:t>
            </w:r>
          </w:p>
        </w:tc>
        <w:tc>
          <w:tcPr>
            <w:tcW w:w="1541" w:type="dxa"/>
            <w:tcBorders>
              <w:top w:val="nil"/>
              <w:left w:val="nil"/>
              <w:bottom w:val="single" w:color="auto" w:sz="4" w:space="0"/>
              <w:right w:val="single" w:color="auto" w:sz="4" w:space="0"/>
            </w:tcBorders>
            <w:shd w:val="clear" w:color="auto" w:fill="auto"/>
            <w:vAlign w:val="center"/>
          </w:tcPr>
          <w:p w14:paraId="67E848A2">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1.10</w:t>
            </w:r>
          </w:p>
        </w:tc>
      </w:tr>
      <w:tr w14:paraId="1526492F">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0F821C5E">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33156390">
            <w:pPr>
              <w:widowControl/>
              <w:spacing w:line="240" w:lineRule="exact"/>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水系连通及水美乡村建设</w:t>
            </w:r>
          </w:p>
        </w:tc>
        <w:tc>
          <w:tcPr>
            <w:tcW w:w="1186" w:type="dxa"/>
            <w:tcBorders>
              <w:top w:val="nil"/>
              <w:left w:val="nil"/>
              <w:bottom w:val="single" w:color="auto" w:sz="4" w:space="0"/>
              <w:right w:val="single" w:color="auto" w:sz="4" w:space="0"/>
            </w:tcBorders>
            <w:shd w:val="clear" w:color="auto" w:fill="auto"/>
            <w:vAlign w:val="center"/>
          </w:tcPr>
          <w:p w14:paraId="03D1F9BF">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1</w:t>
            </w:r>
          </w:p>
        </w:tc>
        <w:tc>
          <w:tcPr>
            <w:tcW w:w="1309" w:type="dxa"/>
            <w:tcBorders>
              <w:top w:val="nil"/>
              <w:left w:val="nil"/>
              <w:bottom w:val="single" w:color="auto" w:sz="4" w:space="0"/>
              <w:right w:val="single" w:color="auto" w:sz="4" w:space="0"/>
            </w:tcBorders>
            <w:shd w:val="clear" w:color="auto" w:fill="auto"/>
            <w:vAlign w:val="center"/>
          </w:tcPr>
          <w:p w14:paraId="732AC7E3">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0.57</w:t>
            </w:r>
          </w:p>
        </w:tc>
        <w:tc>
          <w:tcPr>
            <w:tcW w:w="1541" w:type="dxa"/>
            <w:tcBorders>
              <w:top w:val="nil"/>
              <w:left w:val="nil"/>
              <w:bottom w:val="single" w:color="auto" w:sz="4" w:space="0"/>
              <w:right w:val="single" w:color="auto" w:sz="4" w:space="0"/>
            </w:tcBorders>
            <w:shd w:val="clear" w:color="auto" w:fill="auto"/>
            <w:vAlign w:val="center"/>
          </w:tcPr>
          <w:p w14:paraId="41352B74">
            <w:pPr>
              <w:widowControl/>
              <w:spacing w:line="240" w:lineRule="exact"/>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0.57</w:t>
            </w:r>
          </w:p>
        </w:tc>
      </w:tr>
      <w:tr w14:paraId="6156FFC9">
        <w:tblPrEx>
          <w:tblCellMar>
            <w:top w:w="0" w:type="dxa"/>
            <w:left w:w="51" w:type="dxa"/>
            <w:bottom w:w="0" w:type="dxa"/>
            <w:right w:w="51" w:type="dxa"/>
          </w:tblCellMar>
        </w:tblPrEx>
        <w:trPr>
          <w:trHeight w:val="397" w:hRule="atLeast"/>
        </w:trPr>
        <w:tc>
          <w:tcPr>
            <w:tcW w:w="1489" w:type="dxa"/>
            <w:vMerge w:val="continue"/>
            <w:tcBorders>
              <w:top w:val="nil"/>
              <w:left w:val="single" w:color="auto" w:sz="4" w:space="0"/>
              <w:bottom w:val="single" w:color="auto" w:sz="4" w:space="0"/>
              <w:right w:val="single" w:color="auto" w:sz="4" w:space="0"/>
            </w:tcBorders>
            <w:vAlign w:val="center"/>
          </w:tcPr>
          <w:p w14:paraId="60743733">
            <w:pPr>
              <w:widowControl/>
              <w:spacing w:line="240" w:lineRule="exact"/>
              <w:jc w:val="left"/>
              <w:rPr>
                <w:rFonts w:hint="eastAsia" w:ascii="仿宋_GB2312" w:hAnsi="仿宋_GB2312" w:eastAsia="仿宋_GB2312" w:cs="仿宋_GB2312"/>
                <w:color w:val="000000"/>
                <w:kern w:val="0"/>
                <w:sz w:val="20"/>
                <w:szCs w:val="20"/>
              </w:rPr>
            </w:pPr>
          </w:p>
        </w:tc>
        <w:tc>
          <w:tcPr>
            <w:tcW w:w="3394" w:type="dxa"/>
            <w:tcBorders>
              <w:top w:val="nil"/>
              <w:left w:val="nil"/>
              <w:bottom w:val="single" w:color="auto" w:sz="4" w:space="0"/>
              <w:right w:val="single" w:color="auto" w:sz="4" w:space="0"/>
            </w:tcBorders>
            <w:shd w:val="clear" w:color="auto" w:fill="auto"/>
            <w:vAlign w:val="center"/>
          </w:tcPr>
          <w:p w14:paraId="3614BE0B">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小计</w:t>
            </w:r>
          </w:p>
        </w:tc>
        <w:tc>
          <w:tcPr>
            <w:tcW w:w="1186" w:type="dxa"/>
            <w:tcBorders>
              <w:top w:val="nil"/>
              <w:left w:val="nil"/>
              <w:bottom w:val="single" w:color="auto" w:sz="4" w:space="0"/>
              <w:right w:val="single" w:color="auto" w:sz="4" w:space="0"/>
            </w:tcBorders>
            <w:shd w:val="clear" w:color="auto" w:fill="auto"/>
            <w:vAlign w:val="center"/>
          </w:tcPr>
          <w:p w14:paraId="54099278">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6</w:t>
            </w:r>
          </w:p>
        </w:tc>
        <w:tc>
          <w:tcPr>
            <w:tcW w:w="1309" w:type="dxa"/>
            <w:tcBorders>
              <w:top w:val="nil"/>
              <w:left w:val="nil"/>
              <w:bottom w:val="single" w:color="auto" w:sz="4" w:space="0"/>
              <w:right w:val="single" w:color="auto" w:sz="4" w:space="0"/>
            </w:tcBorders>
            <w:shd w:val="clear" w:color="auto" w:fill="auto"/>
            <w:vAlign w:val="center"/>
          </w:tcPr>
          <w:p w14:paraId="18734021">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1.68</w:t>
            </w:r>
          </w:p>
        </w:tc>
        <w:tc>
          <w:tcPr>
            <w:tcW w:w="1541" w:type="dxa"/>
            <w:tcBorders>
              <w:top w:val="nil"/>
              <w:left w:val="nil"/>
              <w:bottom w:val="single" w:color="auto" w:sz="4" w:space="0"/>
              <w:right w:val="single" w:color="auto" w:sz="4" w:space="0"/>
            </w:tcBorders>
            <w:shd w:val="clear" w:color="auto" w:fill="auto"/>
            <w:vAlign w:val="center"/>
          </w:tcPr>
          <w:p w14:paraId="740A8715">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1.68</w:t>
            </w:r>
          </w:p>
        </w:tc>
      </w:tr>
      <w:tr w14:paraId="43C22785">
        <w:tblPrEx>
          <w:tblCellMar>
            <w:top w:w="0" w:type="dxa"/>
            <w:left w:w="51" w:type="dxa"/>
            <w:bottom w:w="0" w:type="dxa"/>
            <w:right w:w="51" w:type="dxa"/>
          </w:tblCellMar>
        </w:tblPrEx>
        <w:trPr>
          <w:trHeight w:val="397" w:hRule="atLeast"/>
        </w:trPr>
        <w:tc>
          <w:tcPr>
            <w:tcW w:w="48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C40482">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合计</w:t>
            </w:r>
          </w:p>
        </w:tc>
        <w:tc>
          <w:tcPr>
            <w:tcW w:w="1186" w:type="dxa"/>
            <w:tcBorders>
              <w:top w:val="nil"/>
              <w:left w:val="nil"/>
              <w:bottom w:val="single" w:color="auto" w:sz="4" w:space="0"/>
              <w:right w:val="single" w:color="auto" w:sz="4" w:space="0"/>
            </w:tcBorders>
            <w:shd w:val="clear" w:color="auto" w:fill="auto"/>
            <w:vAlign w:val="center"/>
          </w:tcPr>
          <w:p w14:paraId="0B42C89C">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68</w:t>
            </w:r>
          </w:p>
        </w:tc>
        <w:tc>
          <w:tcPr>
            <w:tcW w:w="1309" w:type="dxa"/>
            <w:tcBorders>
              <w:top w:val="nil"/>
              <w:left w:val="nil"/>
              <w:bottom w:val="single" w:color="auto" w:sz="4" w:space="0"/>
              <w:right w:val="single" w:color="auto" w:sz="4" w:space="0"/>
            </w:tcBorders>
            <w:shd w:val="clear" w:color="auto" w:fill="auto"/>
            <w:vAlign w:val="center"/>
          </w:tcPr>
          <w:p w14:paraId="28C5DEFB">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43.43</w:t>
            </w:r>
          </w:p>
        </w:tc>
        <w:tc>
          <w:tcPr>
            <w:tcW w:w="1541" w:type="dxa"/>
            <w:tcBorders>
              <w:top w:val="nil"/>
              <w:left w:val="nil"/>
              <w:bottom w:val="single" w:color="auto" w:sz="4" w:space="0"/>
              <w:right w:val="single" w:color="auto" w:sz="4" w:space="0"/>
            </w:tcBorders>
            <w:shd w:val="clear" w:color="auto" w:fill="auto"/>
            <w:vAlign w:val="center"/>
          </w:tcPr>
          <w:p w14:paraId="7B9F96AC">
            <w:pPr>
              <w:widowControl/>
              <w:spacing w:line="240" w:lineRule="exact"/>
              <w:jc w:val="center"/>
              <w:rPr>
                <w:rFonts w:hint="eastAsia" w:ascii="仿宋_GB2312" w:hAnsi="仿宋_GB2312" w:eastAsia="仿宋_GB2312" w:cs="仿宋_GB2312"/>
                <w:b/>
                <w:bCs/>
                <w:color w:val="000000"/>
                <w:kern w:val="0"/>
                <w:sz w:val="20"/>
                <w:szCs w:val="20"/>
              </w:rPr>
            </w:pPr>
            <w:r>
              <w:rPr>
                <w:rFonts w:hint="eastAsia" w:ascii="仿宋_GB2312" w:hAnsi="仿宋_GB2312" w:eastAsia="仿宋_GB2312" w:cs="仿宋_GB2312"/>
                <w:b/>
                <w:bCs/>
                <w:color w:val="000000"/>
                <w:kern w:val="0"/>
                <w:sz w:val="20"/>
                <w:szCs w:val="20"/>
              </w:rPr>
              <w:t>18.81</w:t>
            </w:r>
          </w:p>
        </w:tc>
      </w:tr>
    </w:tbl>
    <w:p w14:paraId="79A86DD3">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昌都“十四五”期间水利投资20.21亿元，其中重大项目投资1.4亿元，面上项目投资18.81亿元。按类型分</w:t>
      </w:r>
      <w:r>
        <w:rPr>
          <w:rFonts w:hint="eastAsia" w:ascii="仿宋_GB2312" w:hAnsi="仿宋_GB2312" w:eastAsia="仿宋_GB2312" w:cs="仿宋_GB2312"/>
          <w:lang w:val="en-US" w:eastAsia="zh-CN"/>
        </w:rPr>
        <w:t>共三大类</w:t>
      </w:r>
      <w:r>
        <w:rPr>
          <w:rFonts w:hint="eastAsia" w:ascii="仿宋_GB2312" w:hAnsi="仿宋_GB2312" w:eastAsia="仿宋_GB2312" w:cs="仿宋_GB2312"/>
        </w:rPr>
        <w:t>，</w:t>
      </w:r>
      <w:r>
        <w:rPr>
          <w:rFonts w:hint="eastAsia" w:ascii="仿宋_GB2312" w:hAnsi="仿宋_GB2312" w:eastAsia="仿宋_GB2312" w:cs="仿宋_GB2312"/>
          <w:b/>
          <w:bCs/>
          <w:lang w:val="en-US" w:eastAsia="zh-CN"/>
        </w:rPr>
        <w:t>一是</w:t>
      </w:r>
      <w:r>
        <w:rPr>
          <w:rFonts w:hint="eastAsia" w:ascii="仿宋_GB2312" w:hAnsi="仿宋_GB2312" w:eastAsia="仿宋_GB2312" w:cs="仿宋_GB2312"/>
        </w:rPr>
        <w:t>供水保障能力建设投资</w:t>
      </w:r>
      <w:r>
        <w:rPr>
          <w:rFonts w:hint="eastAsia" w:ascii="仿宋_GB2312" w:hAnsi="仿宋_GB2312" w:eastAsia="仿宋_GB2312" w:cs="仿宋_GB2312"/>
          <w:lang w:val="en-US" w:eastAsia="zh-CN"/>
        </w:rPr>
        <w:t>8</w:t>
      </w:r>
      <w:r>
        <w:rPr>
          <w:rFonts w:hint="eastAsia" w:ascii="仿宋_GB2312" w:hAnsi="仿宋_GB2312" w:eastAsia="仿宋_GB2312" w:cs="仿宋_GB2312"/>
        </w:rPr>
        <w:t>.6</w:t>
      </w:r>
      <w:r>
        <w:rPr>
          <w:rFonts w:hint="eastAsia" w:ascii="仿宋_GB2312" w:hAnsi="仿宋_GB2312" w:eastAsia="仿宋_GB2312" w:cs="仿宋_GB2312"/>
          <w:lang w:val="en-US" w:eastAsia="zh-CN"/>
        </w:rPr>
        <w:t>7</w:t>
      </w:r>
      <w:r>
        <w:rPr>
          <w:rFonts w:hint="eastAsia" w:ascii="仿宋_GB2312" w:hAnsi="仿宋_GB2312" w:eastAsia="仿宋_GB2312" w:cs="仿宋_GB2312"/>
        </w:rPr>
        <w:t>亿元，占43%；</w:t>
      </w:r>
      <w:r>
        <w:rPr>
          <w:rFonts w:hint="eastAsia" w:ascii="仿宋_GB2312" w:hAnsi="仿宋_GB2312" w:eastAsia="仿宋_GB2312" w:cs="仿宋_GB2312"/>
          <w:b/>
          <w:bCs/>
          <w:lang w:val="en-US" w:eastAsia="zh-CN"/>
        </w:rPr>
        <w:t>二是</w:t>
      </w:r>
      <w:r>
        <w:rPr>
          <w:rFonts w:hint="eastAsia" w:ascii="仿宋_GB2312" w:hAnsi="仿宋_GB2312" w:eastAsia="仿宋_GB2312" w:cs="仿宋_GB2312"/>
        </w:rPr>
        <w:t>防洪提升类工程投资9.46亿元，占47%；</w:t>
      </w:r>
      <w:r>
        <w:rPr>
          <w:rFonts w:hint="eastAsia" w:ascii="仿宋_GB2312" w:hAnsi="仿宋_GB2312" w:eastAsia="仿宋_GB2312" w:cs="仿宋_GB2312"/>
          <w:b/>
          <w:bCs/>
          <w:lang w:val="en-US" w:eastAsia="zh-CN"/>
        </w:rPr>
        <w:t>三是</w:t>
      </w:r>
      <w:r>
        <w:rPr>
          <w:rFonts w:hint="eastAsia" w:ascii="仿宋_GB2312" w:hAnsi="仿宋_GB2312" w:eastAsia="仿宋_GB2312" w:cs="仿宋_GB2312"/>
        </w:rPr>
        <w:t>水生态修复与水系治理工程投资2.08亿元，占10%。</w:t>
      </w:r>
    </w:p>
    <w:p w14:paraId="4BE8510D">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86" w:name="_Toc113972186"/>
      <w:bookmarkStart w:id="187" w:name="_Toc114063733"/>
      <w:bookmarkStart w:id="188" w:name="_Toc78187516"/>
      <w:bookmarkStart w:id="189" w:name="_Toc78187665"/>
      <w:r>
        <w:rPr>
          <w:rFonts w:hint="eastAsia" w:ascii="楷体_GB2312" w:hAnsi="楷体_GB2312" w:eastAsia="楷体_GB2312" w:cs="楷体_GB2312"/>
          <w:b/>
          <w:bCs w:val="0"/>
          <w:sz w:val="32"/>
          <w:szCs w:val="36"/>
        </w:rPr>
        <w:t>（二）资金筹措</w:t>
      </w:r>
      <w:bookmarkEnd w:id="186"/>
      <w:bookmarkEnd w:id="187"/>
      <w:bookmarkEnd w:id="188"/>
      <w:bookmarkEnd w:id="189"/>
    </w:p>
    <w:p w14:paraId="385207F9">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参照“十三五”期间中央和地方资金实际完成投资比例，按照分级负担、分类筹措的原则，拟订“十四五”所需资金筹措由中央水利建设资金、自治区水利专项资金和市财政资金共同安排。</w:t>
      </w:r>
    </w:p>
    <w:p w14:paraId="63F7C406">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90" w:name="_Toc113972187"/>
      <w:bookmarkStart w:id="191" w:name="_Toc78187517"/>
      <w:bookmarkStart w:id="192" w:name="_Toc114063734"/>
      <w:bookmarkStart w:id="193" w:name="_Toc78187666"/>
      <w:r>
        <w:rPr>
          <w:rFonts w:hint="eastAsia" w:ascii="楷体_GB2312" w:hAnsi="楷体_GB2312" w:eastAsia="楷体_GB2312" w:cs="楷体_GB2312"/>
          <w:b/>
          <w:bCs w:val="0"/>
          <w:sz w:val="32"/>
          <w:szCs w:val="36"/>
        </w:rPr>
        <w:t>（三）实施安排</w:t>
      </w:r>
      <w:bookmarkEnd w:id="190"/>
      <w:bookmarkEnd w:id="191"/>
      <w:bookmarkEnd w:id="192"/>
      <w:bookmarkEnd w:id="193"/>
    </w:p>
    <w:p w14:paraId="51DD3024">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根据“十四五”水安全保障的目标与任务，按照确有需要、可以持续以及先急后缓、先重后轻、先易后难的要求，拟定项目的实施安排。</w:t>
      </w:r>
    </w:p>
    <w:p w14:paraId="36E9EDBC">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sectPr>
          <w:pgSz w:w="11906" w:h="16838"/>
          <w:pgMar w:top="2098" w:right="1474" w:bottom="1984" w:left="1531" w:header="851" w:footer="992" w:gutter="0"/>
          <w:pgNumType w:fmt="decimal"/>
          <w:cols w:space="425" w:num="1"/>
          <w:docGrid w:type="lines" w:linePitch="312" w:charSpace="0"/>
        </w:sectPr>
      </w:pPr>
    </w:p>
    <w:p w14:paraId="06F468CE">
      <w:pPr>
        <w:pStyle w:val="29"/>
        <w:pageBreakBefore w:val="0"/>
        <w:widowControl w:val="0"/>
        <w:kinsoku/>
        <w:wordWrap/>
        <w:overflowPunct/>
        <w:topLinePunct w:val="0"/>
        <w:autoSpaceDE/>
        <w:autoSpaceDN/>
        <w:bidi w:val="0"/>
        <w:spacing w:line="576" w:lineRule="exact"/>
        <w:ind w:firstLine="640" w:firstLineChars="200"/>
        <w:textAlignment w:val="auto"/>
        <w:rPr>
          <w:sz w:val="32"/>
          <w:szCs w:val="48"/>
        </w:rPr>
      </w:pPr>
      <w:bookmarkStart w:id="194" w:name="_Toc114063735"/>
      <w:r>
        <w:rPr>
          <w:sz w:val="32"/>
          <w:szCs w:val="48"/>
        </w:rPr>
        <w:t>十一、保障措施</w:t>
      </w:r>
      <w:bookmarkEnd w:id="194"/>
    </w:p>
    <w:p w14:paraId="40999ABF">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95" w:name="_Toc78187675"/>
      <w:bookmarkStart w:id="196" w:name="_Toc78187526"/>
      <w:bookmarkStart w:id="197" w:name="_Toc114063736"/>
      <w:bookmarkStart w:id="198" w:name="_Toc113972189"/>
      <w:r>
        <w:rPr>
          <w:rFonts w:hint="eastAsia" w:ascii="楷体_GB2312" w:hAnsi="楷体_GB2312" w:eastAsia="楷体_GB2312" w:cs="楷体_GB2312"/>
          <w:b/>
          <w:bCs w:val="0"/>
          <w:sz w:val="32"/>
          <w:szCs w:val="36"/>
        </w:rPr>
        <w:t>（一）加强组织领导</w:t>
      </w:r>
      <w:bookmarkEnd w:id="195"/>
      <w:bookmarkEnd w:id="196"/>
      <w:bookmarkEnd w:id="197"/>
      <w:bookmarkEnd w:id="198"/>
    </w:p>
    <w:p w14:paraId="5D788919">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各级政府要把加快水建设、破解水制约、保障水安全摆在更加突出的位置和优先发展的领域，落实各项举措，确保抓出成效。建立统筹解决全市水问题经常化调度机制和议事决策机制。把水安全保障工程建设成效作为衡量科学发展水平的重要内容，实行常态化的监督评价</w:t>
      </w:r>
      <w:r>
        <w:rPr>
          <w:rFonts w:hint="eastAsia" w:ascii="仿宋_GB2312" w:hAnsi="仿宋_GB2312" w:eastAsia="仿宋_GB2312" w:cs="仿宋_GB2312"/>
          <w:lang w:eastAsia="zh-CN"/>
        </w:rPr>
        <w:t>，把</w:t>
      </w:r>
      <w:r>
        <w:rPr>
          <w:rFonts w:hint="eastAsia" w:ascii="仿宋_GB2312" w:hAnsi="仿宋_GB2312" w:eastAsia="仿宋_GB2312" w:cs="仿宋_GB2312"/>
        </w:rPr>
        <w:t>评价结果作为政府发展成效评价的重要依据。</w:t>
      </w:r>
    </w:p>
    <w:p w14:paraId="4039B691">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199" w:name="_Toc113972190"/>
      <w:bookmarkStart w:id="200" w:name="_Toc78187676"/>
      <w:bookmarkStart w:id="201" w:name="_Toc78187527"/>
      <w:bookmarkStart w:id="202" w:name="_Toc114063737"/>
      <w:r>
        <w:rPr>
          <w:rFonts w:hint="eastAsia" w:ascii="楷体_GB2312" w:hAnsi="楷体_GB2312" w:eastAsia="楷体_GB2312" w:cs="楷体_GB2312"/>
          <w:b/>
          <w:bCs w:val="0"/>
          <w:sz w:val="32"/>
          <w:szCs w:val="36"/>
        </w:rPr>
        <w:t>（二）落实责任分工</w:t>
      </w:r>
      <w:bookmarkEnd w:id="199"/>
      <w:bookmarkEnd w:id="200"/>
      <w:bookmarkEnd w:id="201"/>
      <w:bookmarkEnd w:id="202"/>
    </w:p>
    <w:p w14:paraId="2C817846">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水安全保障系统复杂，综合性强，是全市各区县、多领域、多部门的共同责任，需分工负责，共同推进。加快“三定方案”落实，明确各部门在农田水利、牧区水利、生态环境保护、水价改革等职责分工。水利部门重点负责涉水规划制定、工程建设和水事监管。发展改革部门根据国家相关规划争取中央预算内投资支持，财政、水利部门研究落实工程建设资金筹措方案。发展改革、经信、自然资源、住建、生态环境、农业、林草、物价等部门分别负责工业节水、城镇节水及中水回用、水污染防治、田间配套和节水、水源涵养及湿地建设、水价改革等相关工作。相关部门要各司其职，密切协作配合，形成工作合力，同时加强对各县市工作的指导和支持，推动完成各项任务。</w:t>
      </w:r>
    </w:p>
    <w:p w14:paraId="0CF3AFF5">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203" w:name="_Toc114063738"/>
      <w:bookmarkStart w:id="204" w:name="_Toc78187677"/>
      <w:bookmarkStart w:id="205" w:name="_Toc78187528"/>
      <w:bookmarkStart w:id="206" w:name="_Toc113972191"/>
      <w:r>
        <w:rPr>
          <w:rFonts w:hint="eastAsia" w:ascii="楷体_GB2312" w:hAnsi="楷体_GB2312" w:eastAsia="楷体_GB2312" w:cs="楷体_GB2312"/>
          <w:b/>
          <w:bCs w:val="0"/>
          <w:sz w:val="32"/>
          <w:szCs w:val="36"/>
        </w:rPr>
        <w:t>（三）保障资金落实</w:t>
      </w:r>
      <w:bookmarkEnd w:id="203"/>
      <w:bookmarkEnd w:id="204"/>
      <w:bookmarkEnd w:id="205"/>
      <w:bookmarkEnd w:id="206"/>
    </w:p>
    <w:p w14:paraId="1FB56C0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坚持政府主导，各级</w:t>
      </w:r>
      <w:r>
        <w:rPr>
          <w:rFonts w:hint="eastAsia" w:ascii="仿宋_GB2312" w:hAnsi="仿宋_GB2312" w:eastAsia="仿宋_GB2312" w:cs="仿宋_GB2312"/>
          <w:lang w:eastAsia="zh-CN"/>
        </w:rPr>
        <w:t>政府</w:t>
      </w:r>
      <w:r>
        <w:rPr>
          <w:rFonts w:hint="eastAsia" w:ascii="仿宋_GB2312" w:hAnsi="仿宋_GB2312" w:eastAsia="仿宋_GB2312" w:cs="仿宋_GB2312"/>
        </w:rPr>
        <w:t>要继续将水利作为公共财政投入的重点领域和基础设施建设的优先领域，进一步加大财政投入力度。坚持多渠道筹措落实水利建设资金，用好政府债券资金，合理利用各类优惠贷款，鼓励社会资本以参股控股、委托运营、整合改制等多种形式参与水利建设。</w:t>
      </w:r>
    </w:p>
    <w:p w14:paraId="280305D6">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207" w:name="_Toc78187678"/>
      <w:bookmarkStart w:id="208" w:name="_Toc113972192"/>
      <w:bookmarkStart w:id="209" w:name="_Toc114063739"/>
      <w:bookmarkStart w:id="210" w:name="_Toc78187529"/>
      <w:r>
        <w:rPr>
          <w:rFonts w:hint="eastAsia" w:ascii="楷体_GB2312" w:hAnsi="楷体_GB2312" w:eastAsia="楷体_GB2312" w:cs="楷体_GB2312"/>
          <w:b/>
          <w:bCs w:val="0"/>
          <w:sz w:val="32"/>
          <w:szCs w:val="36"/>
        </w:rPr>
        <w:t>（四）做好前期规划</w:t>
      </w:r>
      <w:bookmarkEnd w:id="207"/>
      <w:bookmarkEnd w:id="208"/>
      <w:bookmarkEnd w:id="209"/>
      <w:bookmarkEnd w:id="210"/>
    </w:p>
    <w:p w14:paraId="1B693D72">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做好重要规划的编制和报批工作，重点推进全市水资源配置和利用、水生态保护和修复、水土保持等规划研究，科学谋划全市水安全保障格局。以县市和流域为单元，完善防洪、节水、农村饮水等水利专项规划编制工作，妥善解决好</w:t>
      </w:r>
      <w:r>
        <w:rPr>
          <w:rFonts w:hint="eastAsia" w:ascii="仿宋_GB2312" w:hAnsi="仿宋_GB2312" w:eastAsia="仿宋_GB2312" w:cs="仿宋_GB2312"/>
          <w:lang w:eastAsia="zh-CN"/>
        </w:rPr>
        <w:t>工程</w:t>
      </w:r>
      <w:r>
        <w:rPr>
          <w:rFonts w:hint="eastAsia" w:ascii="仿宋_GB2312" w:hAnsi="仿宋_GB2312" w:eastAsia="仿宋_GB2312" w:cs="仿宋_GB2312"/>
        </w:rPr>
        <w:t>建设中的生态环境保护、区域水量分配、利益协调等问题，科学确定建设方案，做好项目储备，为水利高质量发展奠定基础。在项目规划、设计、实施过程中，要充分避让现有公路并适当预留改扩建空间。</w:t>
      </w:r>
    </w:p>
    <w:p w14:paraId="1D35B003">
      <w:pPr>
        <w:pStyle w:val="32"/>
        <w:pageBreakBefore w:val="0"/>
        <w:widowControl w:val="0"/>
        <w:kinsoku/>
        <w:wordWrap/>
        <w:overflowPunct/>
        <w:topLinePunct w:val="0"/>
        <w:autoSpaceDE/>
        <w:autoSpaceDN/>
        <w:bidi w:val="0"/>
        <w:spacing w:line="576" w:lineRule="exact"/>
        <w:ind w:firstLine="643" w:firstLineChars="200"/>
        <w:textAlignment w:val="auto"/>
        <w:rPr>
          <w:rFonts w:hint="eastAsia" w:ascii="楷体_GB2312" w:hAnsi="楷体_GB2312" w:eastAsia="楷体_GB2312" w:cs="楷体_GB2312"/>
          <w:b/>
          <w:bCs w:val="0"/>
          <w:sz w:val="32"/>
          <w:szCs w:val="36"/>
        </w:rPr>
      </w:pPr>
      <w:bookmarkStart w:id="211" w:name="_Toc78187530"/>
      <w:bookmarkStart w:id="212" w:name="_Toc113972193"/>
      <w:bookmarkStart w:id="213" w:name="_Toc78187679"/>
      <w:bookmarkStart w:id="214" w:name="_Toc114063740"/>
      <w:r>
        <w:rPr>
          <w:rFonts w:hint="eastAsia" w:ascii="楷体_GB2312" w:hAnsi="楷体_GB2312" w:eastAsia="楷体_GB2312" w:cs="楷体_GB2312"/>
          <w:b/>
          <w:bCs w:val="0"/>
          <w:sz w:val="32"/>
          <w:szCs w:val="36"/>
        </w:rPr>
        <w:t>（五）深入宣传引导</w:t>
      </w:r>
      <w:bookmarkEnd w:id="211"/>
      <w:bookmarkEnd w:id="212"/>
      <w:bookmarkEnd w:id="213"/>
      <w:bookmarkEnd w:id="214"/>
    </w:p>
    <w:p w14:paraId="3053153F">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深入学习借鉴先进地区经验，加大水安全宣传教育力度，强化水安全保障的责任担当。加强宣传引导，</w:t>
      </w:r>
      <w:r>
        <w:rPr>
          <w:rFonts w:hint="eastAsia" w:ascii="仿宋_GB2312" w:hAnsi="仿宋_GB2312" w:eastAsia="仿宋_GB2312" w:cs="仿宋_GB2312"/>
          <w:lang w:eastAsia="zh-CN"/>
        </w:rPr>
        <w:t>增强</w:t>
      </w:r>
      <w:r>
        <w:rPr>
          <w:rFonts w:hint="eastAsia" w:ascii="仿宋_GB2312" w:hAnsi="仿宋_GB2312" w:eastAsia="仿宋_GB2312" w:cs="仿宋_GB2312"/>
        </w:rPr>
        <w:t>全市水患意识、节水意识、护水意识和水生态文明意识，营造全社会关心水利、支持水利、发展水利的良好环境，推动形成治水兴水的强大合力。</w:t>
      </w:r>
    </w:p>
    <w:p w14:paraId="51A75B05">
      <w:pPr>
        <w:pStyle w:val="27"/>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rPr>
        <w:sectPr>
          <w:pgSz w:w="11906" w:h="16838"/>
          <w:pgMar w:top="2098" w:right="1474" w:bottom="1984" w:left="1531" w:header="851" w:footer="992" w:gutter="0"/>
          <w:pgNumType w:fmt="decimal"/>
          <w:cols w:space="425" w:num="1"/>
          <w:docGrid w:type="lines" w:linePitch="312" w:charSpace="0"/>
        </w:sectPr>
      </w:pPr>
    </w:p>
    <w:p w14:paraId="2A321EA7">
      <w:pPr>
        <w:pStyle w:val="27"/>
        <w:outlineLvl w:val="0"/>
        <w:rPr>
          <w:rFonts w:eastAsia="黑体" w:cs="Times New Roman"/>
          <w:color w:val="auto"/>
        </w:rPr>
      </w:pPr>
      <w:bookmarkStart w:id="215" w:name="_Toc114063741"/>
      <w:r>
        <w:rPr>
          <w:rFonts w:eastAsia="黑体" w:cs="Times New Roman"/>
          <w:color w:val="auto"/>
        </w:rPr>
        <w:t>附表1                 昌都市“十四五”水安全保障规划项目库</w:t>
      </w:r>
      <w:bookmarkEnd w:id="215"/>
    </w:p>
    <w:tbl>
      <w:tblPr>
        <w:tblStyle w:val="20"/>
        <w:tblW w:w="14687" w:type="dxa"/>
        <w:tblInd w:w="0" w:type="dxa"/>
        <w:tblLayout w:type="fixed"/>
        <w:tblCellMar>
          <w:top w:w="0" w:type="dxa"/>
          <w:left w:w="51" w:type="dxa"/>
          <w:bottom w:w="0" w:type="dxa"/>
          <w:right w:w="51" w:type="dxa"/>
        </w:tblCellMar>
      </w:tblPr>
      <w:tblGrid>
        <w:gridCol w:w="885"/>
        <w:gridCol w:w="2069"/>
        <w:gridCol w:w="932"/>
        <w:gridCol w:w="732"/>
        <w:gridCol w:w="1135"/>
        <w:gridCol w:w="3116"/>
        <w:gridCol w:w="932"/>
        <w:gridCol w:w="946"/>
        <w:gridCol w:w="1043"/>
        <w:gridCol w:w="1043"/>
        <w:gridCol w:w="1196"/>
        <w:gridCol w:w="658"/>
      </w:tblGrid>
      <w:tr w14:paraId="5E41BABF">
        <w:trPr>
          <w:trHeight w:val="20" w:hRule="atLeast"/>
          <w:tblHeader/>
        </w:trPr>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22B8DA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序号</w:t>
            </w:r>
          </w:p>
        </w:tc>
        <w:tc>
          <w:tcPr>
            <w:tcW w:w="2069" w:type="dxa"/>
            <w:tcBorders>
              <w:top w:val="single" w:color="auto" w:sz="4" w:space="0"/>
              <w:left w:val="nil"/>
              <w:bottom w:val="single" w:color="auto" w:sz="4" w:space="0"/>
              <w:right w:val="single" w:color="auto" w:sz="4" w:space="0"/>
            </w:tcBorders>
            <w:shd w:val="clear" w:color="auto" w:fill="auto"/>
            <w:vAlign w:val="center"/>
          </w:tcPr>
          <w:p w14:paraId="5AE6086E">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项目名称</w:t>
            </w:r>
          </w:p>
        </w:tc>
        <w:tc>
          <w:tcPr>
            <w:tcW w:w="932" w:type="dxa"/>
            <w:tcBorders>
              <w:top w:val="single" w:color="auto" w:sz="4" w:space="0"/>
              <w:left w:val="nil"/>
              <w:bottom w:val="single" w:color="auto" w:sz="4" w:space="0"/>
              <w:right w:val="single" w:color="auto" w:sz="4" w:space="0"/>
            </w:tcBorders>
            <w:shd w:val="clear" w:color="auto" w:fill="auto"/>
            <w:vAlign w:val="center"/>
          </w:tcPr>
          <w:p w14:paraId="2D2289AA">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所在</w:t>
            </w:r>
          </w:p>
          <w:p w14:paraId="782A59AB">
            <w:pPr>
              <w:widowControl/>
              <w:spacing w:line="240" w:lineRule="exact"/>
              <w:jc w:val="center"/>
              <w:rPr>
                <w:rFonts w:hint="eastAsia" w:ascii="仿宋_GB2312" w:hAnsi="仿宋_GB2312" w:eastAsia="仿宋_GB2312" w:cs="仿宋_GB2312"/>
                <w:b/>
                <w:bCs/>
                <w:color w:val="auto"/>
                <w:kern w:val="0"/>
                <w:sz w:val="20"/>
                <w:szCs w:val="20"/>
                <w:lang w:eastAsia="zh-CN"/>
              </w:rPr>
            </w:pPr>
            <w:r>
              <w:rPr>
                <w:rFonts w:hint="eastAsia" w:ascii="仿宋_GB2312" w:hAnsi="仿宋_GB2312" w:eastAsia="仿宋_GB2312" w:cs="仿宋_GB2312"/>
                <w:b/>
                <w:bCs/>
                <w:color w:val="auto"/>
                <w:kern w:val="0"/>
                <w:sz w:val="20"/>
                <w:szCs w:val="20"/>
              </w:rPr>
              <w:t>县</w:t>
            </w:r>
            <w:r>
              <w:rPr>
                <w:rFonts w:hint="eastAsia" w:ascii="仿宋_GB2312" w:hAnsi="仿宋_GB2312" w:eastAsia="仿宋_GB2312" w:cs="仿宋_GB2312"/>
                <w:b/>
                <w:bCs/>
                <w:color w:val="auto"/>
                <w:kern w:val="0"/>
                <w:sz w:val="20"/>
                <w:szCs w:val="20"/>
                <w:lang w:eastAsia="zh-CN"/>
              </w:rPr>
              <w:t>（</w:t>
            </w:r>
            <w:r>
              <w:rPr>
                <w:rFonts w:hint="eastAsia" w:ascii="仿宋_GB2312" w:hAnsi="仿宋_GB2312" w:eastAsia="仿宋_GB2312" w:cs="仿宋_GB2312"/>
                <w:b/>
                <w:bCs/>
                <w:color w:val="auto"/>
                <w:kern w:val="0"/>
                <w:sz w:val="20"/>
                <w:szCs w:val="20"/>
                <w:lang w:val="en-US" w:eastAsia="zh-CN"/>
              </w:rPr>
              <w:t>区</w:t>
            </w:r>
            <w:r>
              <w:rPr>
                <w:rFonts w:hint="eastAsia" w:ascii="仿宋_GB2312" w:hAnsi="仿宋_GB2312" w:eastAsia="仿宋_GB2312" w:cs="仿宋_GB2312"/>
                <w:b/>
                <w:bCs/>
                <w:color w:val="auto"/>
                <w:kern w:val="0"/>
                <w:sz w:val="20"/>
                <w:szCs w:val="20"/>
                <w:lang w:eastAsia="zh-CN"/>
              </w:rPr>
              <w:t>）</w:t>
            </w:r>
          </w:p>
        </w:tc>
        <w:tc>
          <w:tcPr>
            <w:tcW w:w="732" w:type="dxa"/>
            <w:tcBorders>
              <w:top w:val="single" w:color="auto" w:sz="4" w:space="0"/>
              <w:left w:val="nil"/>
              <w:bottom w:val="single" w:color="auto" w:sz="4" w:space="0"/>
              <w:right w:val="single" w:color="auto" w:sz="4" w:space="0"/>
            </w:tcBorders>
            <w:shd w:val="clear" w:color="auto" w:fill="auto"/>
            <w:vAlign w:val="center"/>
          </w:tcPr>
          <w:p w14:paraId="211F30AD">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建设</w:t>
            </w:r>
          </w:p>
          <w:p w14:paraId="206CACB1">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性质</w:t>
            </w:r>
          </w:p>
        </w:tc>
        <w:tc>
          <w:tcPr>
            <w:tcW w:w="1135" w:type="dxa"/>
            <w:tcBorders>
              <w:top w:val="single" w:color="auto" w:sz="4" w:space="0"/>
              <w:left w:val="nil"/>
              <w:bottom w:val="single" w:color="auto" w:sz="4" w:space="0"/>
              <w:right w:val="single" w:color="auto" w:sz="4" w:space="0"/>
            </w:tcBorders>
            <w:shd w:val="clear" w:color="auto" w:fill="auto"/>
            <w:vAlign w:val="center"/>
          </w:tcPr>
          <w:p w14:paraId="68225311">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前期工作进展情况</w:t>
            </w:r>
          </w:p>
        </w:tc>
        <w:tc>
          <w:tcPr>
            <w:tcW w:w="3116" w:type="dxa"/>
            <w:tcBorders>
              <w:top w:val="single" w:color="auto" w:sz="4" w:space="0"/>
              <w:left w:val="nil"/>
              <w:bottom w:val="single" w:color="auto" w:sz="4" w:space="0"/>
              <w:right w:val="single" w:color="auto" w:sz="4" w:space="0"/>
            </w:tcBorders>
            <w:shd w:val="clear" w:color="auto" w:fill="auto"/>
            <w:vAlign w:val="center"/>
          </w:tcPr>
          <w:p w14:paraId="6CF0C959">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建设规模和主要建设内容</w:t>
            </w:r>
          </w:p>
        </w:tc>
        <w:tc>
          <w:tcPr>
            <w:tcW w:w="932" w:type="dxa"/>
            <w:tcBorders>
              <w:top w:val="single" w:color="auto" w:sz="4" w:space="0"/>
              <w:left w:val="nil"/>
              <w:bottom w:val="single" w:color="auto" w:sz="4" w:space="0"/>
              <w:right w:val="single" w:color="auto" w:sz="4" w:space="0"/>
            </w:tcBorders>
            <w:shd w:val="clear" w:color="auto" w:fill="auto"/>
            <w:vAlign w:val="center"/>
          </w:tcPr>
          <w:p w14:paraId="20F2EB8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拟开工年份</w:t>
            </w:r>
          </w:p>
        </w:tc>
        <w:tc>
          <w:tcPr>
            <w:tcW w:w="946" w:type="dxa"/>
            <w:tcBorders>
              <w:top w:val="single" w:color="auto" w:sz="4" w:space="0"/>
              <w:left w:val="nil"/>
              <w:bottom w:val="single" w:color="auto" w:sz="4" w:space="0"/>
              <w:right w:val="single" w:color="auto" w:sz="4" w:space="0"/>
            </w:tcBorders>
            <w:shd w:val="clear" w:color="auto" w:fill="auto"/>
            <w:vAlign w:val="center"/>
          </w:tcPr>
          <w:p w14:paraId="2C113965">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拟建成年份</w:t>
            </w:r>
          </w:p>
        </w:tc>
        <w:tc>
          <w:tcPr>
            <w:tcW w:w="1043" w:type="dxa"/>
            <w:tcBorders>
              <w:top w:val="single" w:color="auto" w:sz="4" w:space="0"/>
              <w:left w:val="nil"/>
              <w:bottom w:val="single" w:color="auto" w:sz="4" w:space="0"/>
              <w:right w:val="single" w:color="auto" w:sz="4" w:space="0"/>
            </w:tcBorders>
            <w:shd w:val="clear" w:color="auto" w:fill="auto"/>
            <w:vAlign w:val="center"/>
          </w:tcPr>
          <w:p w14:paraId="5833994F">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投资类别</w:t>
            </w:r>
          </w:p>
        </w:tc>
        <w:tc>
          <w:tcPr>
            <w:tcW w:w="1043" w:type="dxa"/>
            <w:tcBorders>
              <w:top w:val="single" w:color="auto" w:sz="4" w:space="0"/>
              <w:left w:val="nil"/>
              <w:bottom w:val="single" w:color="auto" w:sz="4" w:space="0"/>
              <w:right w:val="single" w:color="auto" w:sz="4" w:space="0"/>
            </w:tcBorders>
            <w:shd w:val="clear" w:color="auto" w:fill="auto"/>
            <w:vAlign w:val="center"/>
          </w:tcPr>
          <w:p w14:paraId="6178C317">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总投资（万元）</w:t>
            </w:r>
          </w:p>
        </w:tc>
        <w:tc>
          <w:tcPr>
            <w:tcW w:w="1196" w:type="dxa"/>
            <w:tcBorders>
              <w:top w:val="single" w:color="auto" w:sz="4" w:space="0"/>
              <w:left w:val="nil"/>
              <w:bottom w:val="single" w:color="auto" w:sz="4" w:space="0"/>
              <w:right w:val="single" w:color="auto" w:sz="4" w:space="0"/>
            </w:tcBorders>
            <w:shd w:val="clear" w:color="auto" w:fill="auto"/>
            <w:vAlign w:val="center"/>
          </w:tcPr>
          <w:p w14:paraId="2344DF20">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“十四五”规划投资</w:t>
            </w:r>
          </w:p>
          <w:p w14:paraId="5666C55B">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（万元）</w:t>
            </w:r>
          </w:p>
        </w:tc>
        <w:tc>
          <w:tcPr>
            <w:tcW w:w="658" w:type="dxa"/>
            <w:tcBorders>
              <w:top w:val="single" w:color="auto" w:sz="4" w:space="0"/>
              <w:left w:val="nil"/>
              <w:bottom w:val="single" w:color="auto" w:sz="4" w:space="0"/>
              <w:right w:val="single" w:color="auto" w:sz="4" w:space="0"/>
            </w:tcBorders>
            <w:shd w:val="clear" w:color="auto" w:fill="auto"/>
            <w:vAlign w:val="center"/>
          </w:tcPr>
          <w:p w14:paraId="66A475C8">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备注</w:t>
            </w:r>
          </w:p>
        </w:tc>
      </w:tr>
      <w:tr w14:paraId="391A0CDA">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7EE5BB4">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w:t>
            </w:r>
          </w:p>
        </w:tc>
        <w:tc>
          <w:tcPr>
            <w:tcW w:w="9862" w:type="dxa"/>
            <w:gridSpan w:val="7"/>
            <w:tcBorders>
              <w:top w:val="single" w:color="auto" w:sz="4" w:space="0"/>
              <w:left w:val="nil"/>
              <w:bottom w:val="single" w:color="auto" w:sz="4" w:space="0"/>
              <w:right w:val="single" w:color="auto" w:sz="4" w:space="0"/>
            </w:tcBorders>
            <w:shd w:val="clear" w:color="auto" w:fill="auto"/>
            <w:vAlign w:val="center"/>
          </w:tcPr>
          <w:p w14:paraId="11FBFEC9">
            <w:pPr>
              <w:widowControl/>
              <w:spacing w:line="240" w:lineRule="exact"/>
              <w:jc w:val="left"/>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供水保障能力建设工程</w:t>
            </w:r>
          </w:p>
        </w:tc>
        <w:tc>
          <w:tcPr>
            <w:tcW w:w="1043" w:type="dxa"/>
            <w:tcBorders>
              <w:top w:val="nil"/>
              <w:left w:val="nil"/>
              <w:bottom w:val="single" w:color="auto" w:sz="4" w:space="0"/>
              <w:right w:val="single" w:color="auto" w:sz="4" w:space="0"/>
            </w:tcBorders>
            <w:shd w:val="clear" w:color="auto" w:fill="auto"/>
            <w:vAlign w:val="center"/>
          </w:tcPr>
          <w:p w14:paraId="63D971A2">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50208929">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853497</w:t>
            </w:r>
          </w:p>
        </w:tc>
        <w:tc>
          <w:tcPr>
            <w:tcW w:w="1196" w:type="dxa"/>
            <w:tcBorders>
              <w:top w:val="nil"/>
              <w:left w:val="nil"/>
              <w:bottom w:val="single" w:color="auto" w:sz="4" w:space="0"/>
              <w:right w:val="single" w:color="auto" w:sz="4" w:space="0"/>
            </w:tcBorders>
            <w:shd w:val="clear" w:color="auto" w:fill="auto"/>
            <w:vAlign w:val="center"/>
          </w:tcPr>
          <w:p w14:paraId="4EBB4895">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86752</w:t>
            </w:r>
          </w:p>
        </w:tc>
        <w:tc>
          <w:tcPr>
            <w:tcW w:w="658" w:type="dxa"/>
            <w:tcBorders>
              <w:top w:val="nil"/>
              <w:left w:val="nil"/>
              <w:bottom w:val="single" w:color="auto" w:sz="4" w:space="0"/>
              <w:right w:val="single" w:color="auto" w:sz="4" w:space="0"/>
            </w:tcBorders>
            <w:shd w:val="clear" w:color="auto" w:fill="auto"/>
            <w:vAlign w:val="center"/>
          </w:tcPr>
          <w:p w14:paraId="1A45E71E">
            <w:pPr>
              <w:widowControl/>
              <w:spacing w:line="240" w:lineRule="exact"/>
              <w:jc w:val="center"/>
              <w:rPr>
                <w:rFonts w:hint="eastAsia" w:ascii="仿宋_GB2312" w:hAnsi="仿宋_GB2312" w:eastAsia="仿宋_GB2312" w:cs="仿宋_GB2312"/>
                <w:b/>
                <w:bCs/>
                <w:color w:val="auto"/>
                <w:kern w:val="0"/>
                <w:sz w:val="20"/>
                <w:szCs w:val="20"/>
              </w:rPr>
            </w:pPr>
          </w:p>
        </w:tc>
      </w:tr>
      <w:tr w14:paraId="20DD523B">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1F2DEC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1-1</w:t>
            </w:r>
          </w:p>
        </w:tc>
        <w:tc>
          <w:tcPr>
            <w:tcW w:w="2069" w:type="dxa"/>
            <w:tcBorders>
              <w:top w:val="nil"/>
              <w:left w:val="nil"/>
              <w:bottom w:val="single" w:color="auto" w:sz="4" w:space="0"/>
              <w:right w:val="single" w:color="auto" w:sz="4" w:space="0"/>
            </w:tcBorders>
            <w:shd w:val="clear" w:color="auto" w:fill="auto"/>
            <w:vAlign w:val="center"/>
          </w:tcPr>
          <w:p w14:paraId="0A2EA5B8">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大型水库</w:t>
            </w:r>
          </w:p>
        </w:tc>
        <w:tc>
          <w:tcPr>
            <w:tcW w:w="932" w:type="dxa"/>
            <w:tcBorders>
              <w:top w:val="nil"/>
              <w:left w:val="nil"/>
              <w:bottom w:val="single" w:color="auto" w:sz="4" w:space="0"/>
              <w:right w:val="single" w:color="auto" w:sz="4" w:space="0"/>
            </w:tcBorders>
            <w:shd w:val="clear" w:color="auto" w:fill="auto"/>
            <w:vAlign w:val="center"/>
          </w:tcPr>
          <w:p w14:paraId="37F26B8A">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w:t>
            </w:r>
          </w:p>
        </w:tc>
        <w:tc>
          <w:tcPr>
            <w:tcW w:w="732" w:type="dxa"/>
            <w:tcBorders>
              <w:top w:val="nil"/>
              <w:left w:val="nil"/>
              <w:bottom w:val="single" w:color="auto" w:sz="4" w:space="0"/>
              <w:right w:val="single" w:color="auto" w:sz="4" w:space="0"/>
            </w:tcBorders>
            <w:shd w:val="clear" w:color="auto" w:fill="auto"/>
            <w:vAlign w:val="center"/>
          </w:tcPr>
          <w:p w14:paraId="7E186BD3">
            <w:pPr>
              <w:widowControl/>
              <w:spacing w:line="240" w:lineRule="exact"/>
              <w:jc w:val="left"/>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09A5732C">
            <w:pPr>
              <w:widowControl/>
              <w:spacing w:line="240" w:lineRule="exact"/>
              <w:jc w:val="left"/>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083397CD">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2D809E1B">
            <w:pPr>
              <w:widowControl/>
              <w:spacing w:line="240" w:lineRule="exact"/>
              <w:jc w:val="left"/>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557786C0">
            <w:pPr>
              <w:widowControl/>
              <w:spacing w:line="240" w:lineRule="exact"/>
              <w:jc w:val="left"/>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164D5747">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2403B57C">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534552</w:t>
            </w:r>
          </w:p>
        </w:tc>
        <w:tc>
          <w:tcPr>
            <w:tcW w:w="1196" w:type="dxa"/>
            <w:tcBorders>
              <w:top w:val="nil"/>
              <w:left w:val="nil"/>
              <w:bottom w:val="single" w:color="auto" w:sz="4" w:space="0"/>
              <w:right w:val="single" w:color="auto" w:sz="4" w:space="0"/>
            </w:tcBorders>
            <w:shd w:val="clear" w:color="auto" w:fill="auto"/>
            <w:vAlign w:val="center"/>
          </w:tcPr>
          <w:p w14:paraId="348D2E6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10000</w:t>
            </w:r>
          </w:p>
        </w:tc>
        <w:tc>
          <w:tcPr>
            <w:tcW w:w="658" w:type="dxa"/>
            <w:tcBorders>
              <w:top w:val="nil"/>
              <w:left w:val="nil"/>
              <w:bottom w:val="single" w:color="auto" w:sz="4" w:space="0"/>
              <w:right w:val="single" w:color="auto" w:sz="4" w:space="0"/>
            </w:tcBorders>
            <w:shd w:val="clear" w:color="auto" w:fill="auto"/>
            <w:vAlign w:val="center"/>
          </w:tcPr>
          <w:p w14:paraId="4879B6AD">
            <w:pPr>
              <w:widowControl/>
              <w:spacing w:line="240" w:lineRule="exact"/>
              <w:jc w:val="center"/>
              <w:rPr>
                <w:rFonts w:hint="eastAsia" w:ascii="仿宋_GB2312" w:hAnsi="仿宋_GB2312" w:eastAsia="仿宋_GB2312" w:cs="仿宋_GB2312"/>
                <w:b/>
                <w:bCs/>
                <w:color w:val="auto"/>
                <w:kern w:val="0"/>
                <w:sz w:val="20"/>
                <w:szCs w:val="20"/>
              </w:rPr>
            </w:pPr>
          </w:p>
        </w:tc>
      </w:tr>
      <w:tr w14:paraId="6A92F1E1">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10104E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1-1-1</w:t>
            </w:r>
          </w:p>
        </w:tc>
        <w:tc>
          <w:tcPr>
            <w:tcW w:w="2069" w:type="dxa"/>
            <w:tcBorders>
              <w:top w:val="nil"/>
              <w:left w:val="nil"/>
              <w:bottom w:val="single" w:color="auto" w:sz="4" w:space="0"/>
              <w:right w:val="single" w:color="auto" w:sz="4" w:space="0"/>
            </w:tcBorders>
            <w:shd w:val="clear" w:color="auto" w:fill="auto"/>
            <w:vAlign w:val="center"/>
          </w:tcPr>
          <w:p w14:paraId="44CC608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西藏昂曲宗通卡水利枢纽工程</w:t>
            </w:r>
          </w:p>
        </w:tc>
        <w:tc>
          <w:tcPr>
            <w:tcW w:w="932" w:type="dxa"/>
            <w:tcBorders>
              <w:top w:val="nil"/>
              <w:left w:val="nil"/>
              <w:bottom w:val="single" w:color="auto" w:sz="4" w:space="0"/>
              <w:right w:val="single" w:color="auto" w:sz="4" w:space="0"/>
            </w:tcBorders>
            <w:shd w:val="clear" w:color="auto" w:fill="auto"/>
            <w:vAlign w:val="center"/>
          </w:tcPr>
          <w:p w14:paraId="69C723F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卡若区、类乌齐县</w:t>
            </w:r>
          </w:p>
        </w:tc>
        <w:tc>
          <w:tcPr>
            <w:tcW w:w="732" w:type="dxa"/>
            <w:tcBorders>
              <w:top w:val="nil"/>
              <w:left w:val="nil"/>
              <w:bottom w:val="single" w:color="auto" w:sz="4" w:space="0"/>
              <w:right w:val="single" w:color="auto" w:sz="4" w:space="0"/>
            </w:tcBorders>
            <w:shd w:val="clear" w:color="auto" w:fill="auto"/>
            <w:vAlign w:val="center"/>
          </w:tcPr>
          <w:p w14:paraId="704B736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F3CDB5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可研待批</w:t>
            </w:r>
          </w:p>
        </w:tc>
        <w:tc>
          <w:tcPr>
            <w:tcW w:w="3116" w:type="dxa"/>
            <w:tcBorders>
              <w:top w:val="nil"/>
              <w:left w:val="nil"/>
              <w:bottom w:val="single" w:color="auto" w:sz="4" w:space="0"/>
              <w:right w:val="single" w:color="auto" w:sz="4" w:space="0"/>
            </w:tcBorders>
            <w:shd w:val="clear" w:color="auto" w:fill="auto"/>
            <w:vAlign w:val="center"/>
          </w:tcPr>
          <w:p w14:paraId="66892584">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总库容1.2647亿立方米，电站装机容量10</w:t>
            </w:r>
            <w:r>
              <w:rPr>
                <w:rFonts w:hint="eastAsia" w:ascii="仿宋_GB2312" w:hAnsi="仿宋_GB2312" w:eastAsia="仿宋_GB2312" w:cs="仿宋_GB2312"/>
                <w:color w:val="auto"/>
                <w:kern w:val="0"/>
                <w:sz w:val="20"/>
                <w:szCs w:val="20"/>
                <w:lang w:val="en-US" w:eastAsia="zh-CN"/>
              </w:rPr>
              <w:t>.4万千</w:t>
            </w:r>
            <w:r>
              <w:rPr>
                <w:rFonts w:hint="eastAsia" w:ascii="仿宋_GB2312" w:hAnsi="仿宋_GB2312" w:eastAsia="仿宋_GB2312" w:cs="仿宋_GB2312"/>
                <w:color w:val="auto"/>
                <w:kern w:val="0"/>
                <w:sz w:val="20"/>
                <w:szCs w:val="20"/>
              </w:rPr>
              <w:t>瓦</w:t>
            </w:r>
          </w:p>
        </w:tc>
        <w:tc>
          <w:tcPr>
            <w:tcW w:w="932" w:type="dxa"/>
            <w:tcBorders>
              <w:top w:val="nil"/>
              <w:left w:val="nil"/>
              <w:bottom w:val="single" w:color="auto" w:sz="4" w:space="0"/>
              <w:right w:val="single" w:color="auto" w:sz="4" w:space="0"/>
            </w:tcBorders>
            <w:shd w:val="clear" w:color="auto" w:fill="auto"/>
            <w:vAlign w:val="center"/>
          </w:tcPr>
          <w:p w14:paraId="4630CF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0EE926C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2030</w:t>
            </w:r>
          </w:p>
        </w:tc>
        <w:tc>
          <w:tcPr>
            <w:tcW w:w="1043" w:type="dxa"/>
            <w:tcBorders>
              <w:top w:val="nil"/>
              <w:left w:val="nil"/>
              <w:bottom w:val="single" w:color="auto" w:sz="4" w:space="0"/>
              <w:right w:val="single" w:color="auto" w:sz="4" w:space="0"/>
            </w:tcBorders>
            <w:shd w:val="clear" w:color="auto" w:fill="auto"/>
            <w:vAlign w:val="center"/>
          </w:tcPr>
          <w:p w14:paraId="7632098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477BB5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534552</w:t>
            </w:r>
          </w:p>
        </w:tc>
        <w:tc>
          <w:tcPr>
            <w:tcW w:w="1196" w:type="dxa"/>
            <w:tcBorders>
              <w:top w:val="nil"/>
              <w:left w:val="nil"/>
              <w:bottom w:val="single" w:color="auto" w:sz="4" w:space="0"/>
              <w:right w:val="single" w:color="auto" w:sz="4" w:space="0"/>
            </w:tcBorders>
            <w:shd w:val="clear" w:color="auto" w:fill="auto"/>
            <w:vAlign w:val="center"/>
          </w:tcPr>
          <w:p w14:paraId="6AE0958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10000</w:t>
            </w:r>
          </w:p>
        </w:tc>
        <w:tc>
          <w:tcPr>
            <w:tcW w:w="658" w:type="dxa"/>
            <w:tcBorders>
              <w:top w:val="nil"/>
              <w:left w:val="nil"/>
              <w:bottom w:val="single" w:color="auto" w:sz="4" w:space="0"/>
              <w:right w:val="single" w:color="auto" w:sz="4" w:space="0"/>
            </w:tcBorders>
            <w:shd w:val="clear" w:color="auto" w:fill="auto"/>
            <w:vAlign w:val="center"/>
          </w:tcPr>
          <w:p w14:paraId="55992ADC">
            <w:pPr>
              <w:widowControl/>
              <w:spacing w:line="240" w:lineRule="exact"/>
              <w:jc w:val="center"/>
              <w:rPr>
                <w:rFonts w:hint="eastAsia" w:ascii="仿宋_GB2312" w:hAnsi="仿宋_GB2312" w:eastAsia="仿宋_GB2312" w:cs="仿宋_GB2312"/>
                <w:color w:val="auto"/>
                <w:kern w:val="0"/>
                <w:sz w:val="20"/>
                <w:szCs w:val="20"/>
              </w:rPr>
            </w:pPr>
          </w:p>
        </w:tc>
      </w:tr>
      <w:tr w14:paraId="2B1904D5">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4A9F5F8">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1-2</w:t>
            </w:r>
          </w:p>
        </w:tc>
        <w:tc>
          <w:tcPr>
            <w:tcW w:w="2069" w:type="dxa"/>
            <w:tcBorders>
              <w:top w:val="nil"/>
              <w:left w:val="nil"/>
              <w:bottom w:val="single" w:color="auto" w:sz="4" w:space="0"/>
              <w:right w:val="single" w:color="auto" w:sz="4" w:space="0"/>
            </w:tcBorders>
            <w:shd w:val="clear" w:color="auto" w:fill="auto"/>
            <w:vAlign w:val="center"/>
          </w:tcPr>
          <w:p w14:paraId="082EDCE1">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中小型水库</w:t>
            </w:r>
          </w:p>
        </w:tc>
        <w:tc>
          <w:tcPr>
            <w:tcW w:w="932" w:type="dxa"/>
            <w:tcBorders>
              <w:top w:val="nil"/>
              <w:left w:val="nil"/>
              <w:bottom w:val="single" w:color="auto" w:sz="4" w:space="0"/>
              <w:right w:val="single" w:color="auto" w:sz="4" w:space="0"/>
            </w:tcBorders>
            <w:shd w:val="clear" w:color="auto" w:fill="auto"/>
            <w:vAlign w:val="center"/>
          </w:tcPr>
          <w:p w14:paraId="26D329BE">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4</w:t>
            </w:r>
          </w:p>
        </w:tc>
        <w:tc>
          <w:tcPr>
            <w:tcW w:w="732" w:type="dxa"/>
            <w:tcBorders>
              <w:top w:val="nil"/>
              <w:left w:val="nil"/>
              <w:bottom w:val="single" w:color="auto" w:sz="4" w:space="0"/>
              <w:right w:val="single" w:color="auto" w:sz="4" w:space="0"/>
            </w:tcBorders>
            <w:shd w:val="clear" w:color="auto" w:fill="auto"/>
            <w:vAlign w:val="center"/>
          </w:tcPr>
          <w:p w14:paraId="027B9323">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2C2AFB9C">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5E60E1D2">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0A2CA5AC">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7833FEC0">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1FE3C3E2">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0443FDF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190934</w:t>
            </w:r>
          </w:p>
        </w:tc>
        <w:tc>
          <w:tcPr>
            <w:tcW w:w="1196" w:type="dxa"/>
            <w:tcBorders>
              <w:top w:val="nil"/>
              <w:left w:val="nil"/>
              <w:bottom w:val="single" w:color="auto" w:sz="4" w:space="0"/>
              <w:right w:val="single" w:color="auto" w:sz="4" w:space="0"/>
            </w:tcBorders>
            <w:shd w:val="clear" w:color="auto" w:fill="auto"/>
            <w:vAlign w:val="center"/>
          </w:tcPr>
          <w:p w14:paraId="3BF8D6BE">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57449</w:t>
            </w:r>
          </w:p>
        </w:tc>
        <w:tc>
          <w:tcPr>
            <w:tcW w:w="658" w:type="dxa"/>
            <w:tcBorders>
              <w:top w:val="nil"/>
              <w:left w:val="nil"/>
              <w:bottom w:val="single" w:color="auto" w:sz="4" w:space="0"/>
              <w:right w:val="single" w:color="auto" w:sz="4" w:space="0"/>
            </w:tcBorders>
            <w:shd w:val="clear" w:color="auto" w:fill="auto"/>
            <w:vAlign w:val="center"/>
          </w:tcPr>
          <w:p w14:paraId="25671E1A">
            <w:pPr>
              <w:widowControl/>
              <w:spacing w:line="240" w:lineRule="exact"/>
              <w:jc w:val="center"/>
              <w:rPr>
                <w:rFonts w:hint="eastAsia" w:ascii="仿宋_GB2312" w:hAnsi="仿宋_GB2312" w:eastAsia="仿宋_GB2312" w:cs="仿宋_GB2312"/>
                <w:b/>
                <w:bCs/>
                <w:color w:val="auto"/>
                <w:kern w:val="0"/>
                <w:sz w:val="20"/>
                <w:szCs w:val="20"/>
              </w:rPr>
            </w:pPr>
          </w:p>
        </w:tc>
      </w:tr>
      <w:tr w14:paraId="5ED84078">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85017E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1-2-1</w:t>
            </w:r>
          </w:p>
        </w:tc>
        <w:tc>
          <w:tcPr>
            <w:tcW w:w="2069" w:type="dxa"/>
            <w:tcBorders>
              <w:top w:val="nil"/>
              <w:left w:val="nil"/>
              <w:bottom w:val="single" w:color="auto" w:sz="4" w:space="0"/>
              <w:right w:val="single" w:color="auto" w:sz="4" w:space="0"/>
            </w:tcBorders>
            <w:shd w:val="clear" w:color="auto" w:fill="auto"/>
            <w:vAlign w:val="center"/>
          </w:tcPr>
          <w:p w14:paraId="41DD867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弄利措水库</w:t>
            </w:r>
          </w:p>
        </w:tc>
        <w:tc>
          <w:tcPr>
            <w:tcW w:w="932" w:type="dxa"/>
            <w:tcBorders>
              <w:top w:val="nil"/>
              <w:left w:val="nil"/>
              <w:bottom w:val="single" w:color="auto" w:sz="4" w:space="0"/>
              <w:right w:val="single" w:color="auto" w:sz="4" w:space="0"/>
            </w:tcBorders>
            <w:shd w:val="clear" w:color="auto" w:fill="auto"/>
            <w:vAlign w:val="center"/>
          </w:tcPr>
          <w:p w14:paraId="68D85E7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5F3C4C7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续建</w:t>
            </w:r>
          </w:p>
        </w:tc>
        <w:tc>
          <w:tcPr>
            <w:tcW w:w="1135" w:type="dxa"/>
            <w:tcBorders>
              <w:top w:val="nil"/>
              <w:left w:val="nil"/>
              <w:bottom w:val="single" w:color="auto" w:sz="4" w:space="0"/>
              <w:right w:val="single" w:color="auto" w:sz="4" w:space="0"/>
            </w:tcBorders>
            <w:shd w:val="clear" w:color="auto" w:fill="auto"/>
            <w:vAlign w:val="center"/>
          </w:tcPr>
          <w:p w14:paraId="26FB9FB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48164D8">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水库总库容1192万立方米</w:t>
            </w:r>
          </w:p>
        </w:tc>
        <w:tc>
          <w:tcPr>
            <w:tcW w:w="932" w:type="dxa"/>
            <w:tcBorders>
              <w:top w:val="nil"/>
              <w:left w:val="nil"/>
              <w:bottom w:val="single" w:color="auto" w:sz="4" w:space="0"/>
              <w:right w:val="single" w:color="auto" w:sz="4" w:space="0"/>
            </w:tcBorders>
            <w:shd w:val="clear" w:color="auto" w:fill="auto"/>
            <w:vAlign w:val="center"/>
          </w:tcPr>
          <w:p w14:paraId="31449A2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2020</w:t>
            </w:r>
          </w:p>
        </w:tc>
        <w:tc>
          <w:tcPr>
            <w:tcW w:w="946" w:type="dxa"/>
            <w:tcBorders>
              <w:top w:val="nil"/>
              <w:left w:val="nil"/>
              <w:bottom w:val="single" w:color="auto" w:sz="4" w:space="0"/>
              <w:right w:val="single" w:color="auto" w:sz="4" w:space="0"/>
            </w:tcBorders>
            <w:shd w:val="clear" w:color="auto" w:fill="auto"/>
            <w:vAlign w:val="center"/>
          </w:tcPr>
          <w:p w14:paraId="58A5061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1BDA440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237A575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64149</w:t>
            </w:r>
          </w:p>
        </w:tc>
        <w:tc>
          <w:tcPr>
            <w:tcW w:w="1196" w:type="dxa"/>
            <w:tcBorders>
              <w:top w:val="nil"/>
              <w:left w:val="nil"/>
              <w:bottom w:val="single" w:color="auto" w:sz="4" w:space="0"/>
              <w:right w:val="single" w:color="auto" w:sz="4" w:space="0"/>
            </w:tcBorders>
            <w:shd w:val="clear" w:color="auto" w:fill="auto"/>
            <w:vAlign w:val="center"/>
          </w:tcPr>
          <w:p w14:paraId="4F1CE27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49149</w:t>
            </w:r>
          </w:p>
        </w:tc>
        <w:tc>
          <w:tcPr>
            <w:tcW w:w="658" w:type="dxa"/>
            <w:tcBorders>
              <w:top w:val="nil"/>
              <w:left w:val="nil"/>
              <w:bottom w:val="single" w:color="auto" w:sz="4" w:space="0"/>
              <w:right w:val="single" w:color="auto" w:sz="4" w:space="0"/>
            </w:tcBorders>
            <w:shd w:val="clear" w:color="auto" w:fill="auto"/>
            <w:vAlign w:val="center"/>
          </w:tcPr>
          <w:p w14:paraId="4FBCDD5F">
            <w:pPr>
              <w:widowControl/>
              <w:spacing w:line="240" w:lineRule="exact"/>
              <w:jc w:val="center"/>
              <w:rPr>
                <w:rFonts w:hint="eastAsia" w:ascii="仿宋_GB2312" w:hAnsi="仿宋_GB2312" w:eastAsia="仿宋_GB2312" w:cs="仿宋_GB2312"/>
                <w:color w:val="auto"/>
                <w:kern w:val="0"/>
                <w:sz w:val="20"/>
                <w:szCs w:val="20"/>
              </w:rPr>
            </w:pPr>
          </w:p>
        </w:tc>
      </w:tr>
      <w:tr w14:paraId="6D47AF2E">
        <w:tblPrEx>
          <w:tblCellMar>
            <w:top w:w="0" w:type="dxa"/>
            <w:left w:w="51" w:type="dxa"/>
            <w:bottom w:w="0" w:type="dxa"/>
            <w:right w:w="51" w:type="dxa"/>
          </w:tblCellMar>
        </w:tblPrEx>
        <w:trPr>
          <w:trHeight w:val="57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2DDAFF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1-2-2</w:t>
            </w:r>
          </w:p>
        </w:tc>
        <w:tc>
          <w:tcPr>
            <w:tcW w:w="2069" w:type="dxa"/>
            <w:tcBorders>
              <w:top w:val="nil"/>
              <w:left w:val="nil"/>
              <w:bottom w:val="single" w:color="auto" w:sz="4" w:space="0"/>
              <w:right w:val="single" w:color="auto" w:sz="4" w:space="0"/>
            </w:tcBorders>
            <w:shd w:val="clear" w:color="auto" w:fill="auto"/>
            <w:vAlign w:val="center"/>
          </w:tcPr>
          <w:p w14:paraId="7338FDD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贡觉县马曲河水库</w:t>
            </w:r>
          </w:p>
        </w:tc>
        <w:tc>
          <w:tcPr>
            <w:tcW w:w="932" w:type="dxa"/>
            <w:tcBorders>
              <w:top w:val="nil"/>
              <w:left w:val="nil"/>
              <w:bottom w:val="single" w:color="auto" w:sz="4" w:space="0"/>
              <w:right w:val="single" w:color="auto" w:sz="4" w:space="0"/>
            </w:tcBorders>
            <w:shd w:val="clear" w:color="auto" w:fill="auto"/>
            <w:vAlign w:val="center"/>
          </w:tcPr>
          <w:p w14:paraId="2EC3895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w:t>
            </w:r>
          </w:p>
        </w:tc>
        <w:tc>
          <w:tcPr>
            <w:tcW w:w="732" w:type="dxa"/>
            <w:tcBorders>
              <w:top w:val="nil"/>
              <w:left w:val="nil"/>
              <w:bottom w:val="single" w:color="auto" w:sz="4" w:space="0"/>
              <w:right w:val="single" w:color="auto" w:sz="4" w:space="0"/>
            </w:tcBorders>
            <w:shd w:val="clear" w:color="auto" w:fill="auto"/>
            <w:vAlign w:val="center"/>
          </w:tcPr>
          <w:p w14:paraId="09A2826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1C5EE78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可研待审</w:t>
            </w:r>
          </w:p>
        </w:tc>
        <w:tc>
          <w:tcPr>
            <w:tcW w:w="3116" w:type="dxa"/>
            <w:tcBorders>
              <w:top w:val="nil"/>
              <w:left w:val="nil"/>
              <w:bottom w:val="single" w:color="auto" w:sz="4" w:space="0"/>
              <w:right w:val="single" w:color="auto" w:sz="4" w:space="0"/>
            </w:tcBorders>
            <w:shd w:val="clear" w:color="auto" w:fill="auto"/>
            <w:vAlign w:val="center"/>
          </w:tcPr>
          <w:p w14:paraId="672C4A67">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水库总库容1608万立方米</w:t>
            </w:r>
          </w:p>
        </w:tc>
        <w:tc>
          <w:tcPr>
            <w:tcW w:w="932" w:type="dxa"/>
            <w:tcBorders>
              <w:top w:val="nil"/>
              <w:left w:val="nil"/>
              <w:bottom w:val="single" w:color="auto" w:sz="4" w:space="0"/>
              <w:right w:val="single" w:color="auto" w:sz="4" w:space="0"/>
            </w:tcBorders>
            <w:shd w:val="clear" w:color="auto" w:fill="auto"/>
            <w:vAlign w:val="center"/>
          </w:tcPr>
          <w:p w14:paraId="54C6988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4DBAD2C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2030</w:t>
            </w:r>
          </w:p>
        </w:tc>
        <w:tc>
          <w:tcPr>
            <w:tcW w:w="1043" w:type="dxa"/>
            <w:tcBorders>
              <w:top w:val="nil"/>
              <w:left w:val="nil"/>
              <w:bottom w:val="single" w:color="auto" w:sz="4" w:space="0"/>
              <w:right w:val="single" w:color="auto" w:sz="4" w:space="0"/>
            </w:tcBorders>
            <w:shd w:val="clear" w:color="auto" w:fill="auto"/>
            <w:vAlign w:val="center"/>
          </w:tcPr>
          <w:p w14:paraId="37FA912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782FB62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52884</w:t>
            </w:r>
          </w:p>
        </w:tc>
        <w:tc>
          <w:tcPr>
            <w:tcW w:w="1196" w:type="dxa"/>
            <w:tcBorders>
              <w:top w:val="nil"/>
              <w:left w:val="nil"/>
              <w:bottom w:val="single" w:color="auto" w:sz="4" w:space="0"/>
              <w:right w:val="single" w:color="auto" w:sz="4" w:space="0"/>
            </w:tcBorders>
            <w:shd w:val="clear" w:color="auto" w:fill="auto"/>
            <w:vAlign w:val="center"/>
          </w:tcPr>
          <w:p w14:paraId="0DF4238E">
            <w:pPr>
              <w:widowControl/>
              <w:spacing w:line="240" w:lineRule="exact"/>
              <w:jc w:val="center"/>
              <w:rPr>
                <w:rFonts w:hint="eastAsia" w:ascii="仿宋_GB2312" w:hAnsi="仿宋_GB2312" w:eastAsia="仿宋_GB2312" w:cs="仿宋_GB2312"/>
                <w:color w:val="auto"/>
                <w:kern w:val="0"/>
                <w:sz w:val="20"/>
                <w:szCs w:val="20"/>
              </w:rPr>
            </w:pPr>
          </w:p>
        </w:tc>
        <w:tc>
          <w:tcPr>
            <w:tcW w:w="658" w:type="dxa"/>
            <w:tcBorders>
              <w:top w:val="nil"/>
              <w:left w:val="nil"/>
              <w:bottom w:val="single" w:color="auto" w:sz="4" w:space="0"/>
              <w:right w:val="single" w:color="auto" w:sz="4" w:space="0"/>
            </w:tcBorders>
            <w:shd w:val="clear" w:color="auto" w:fill="auto"/>
            <w:vAlign w:val="center"/>
          </w:tcPr>
          <w:p w14:paraId="0DEEC26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需深入论证</w:t>
            </w:r>
          </w:p>
        </w:tc>
      </w:tr>
      <w:tr w14:paraId="31DF62FA">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788AD1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1-2-3</w:t>
            </w:r>
          </w:p>
        </w:tc>
        <w:tc>
          <w:tcPr>
            <w:tcW w:w="2069" w:type="dxa"/>
            <w:tcBorders>
              <w:top w:val="nil"/>
              <w:left w:val="nil"/>
              <w:bottom w:val="single" w:color="auto" w:sz="4" w:space="0"/>
              <w:right w:val="single" w:color="auto" w:sz="4" w:space="0"/>
            </w:tcBorders>
            <w:shd w:val="clear" w:color="auto" w:fill="auto"/>
            <w:vAlign w:val="center"/>
          </w:tcPr>
          <w:p w14:paraId="00EBFA0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洛隆县念曲水库</w:t>
            </w:r>
          </w:p>
        </w:tc>
        <w:tc>
          <w:tcPr>
            <w:tcW w:w="932" w:type="dxa"/>
            <w:tcBorders>
              <w:top w:val="nil"/>
              <w:left w:val="nil"/>
              <w:bottom w:val="single" w:color="auto" w:sz="4" w:space="0"/>
              <w:right w:val="single" w:color="auto" w:sz="4" w:space="0"/>
            </w:tcBorders>
            <w:shd w:val="clear" w:color="auto" w:fill="auto"/>
            <w:vAlign w:val="center"/>
          </w:tcPr>
          <w:p w14:paraId="1CB9788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2899910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BEF6C7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可研在编</w:t>
            </w:r>
          </w:p>
        </w:tc>
        <w:tc>
          <w:tcPr>
            <w:tcW w:w="3116" w:type="dxa"/>
            <w:tcBorders>
              <w:top w:val="nil"/>
              <w:left w:val="nil"/>
              <w:bottom w:val="single" w:color="auto" w:sz="4" w:space="0"/>
              <w:right w:val="single" w:color="auto" w:sz="4" w:space="0"/>
            </w:tcBorders>
            <w:shd w:val="clear" w:color="auto" w:fill="auto"/>
            <w:vAlign w:val="center"/>
          </w:tcPr>
          <w:p w14:paraId="13892BFD">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水库总库容1100万立方米</w:t>
            </w:r>
          </w:p>
        </w:tc>
        <w:tc>
          <w:tcPr>
            <w:tcW w:w="932" w:type="dxa"/>
            <w:tcBorders>
              <w:top w:val="nil"/>
              <w:left w:val="nil"/>
              <w:bottom w:val="single" w:color="auto" w:sz="4" w:space="0"/>
              <w:right w:val="single" w:color="auto" w:sz="4" w:space="0"/>
            </w:tcBorders>
            <w:shd w:val="clear" w:color="auto" w:fill="auto"/>
            <w:vAlign w:val="center"/>
          </w:tcPr>
          <w:p w14:paraId="04CA6C6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6B7A59A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2030</w:t>
            </w:r>
          </w:p>
        </w:tc>
        <w:tc>
          <w:tcPr>
            <w:tcW w:w="1043" w:type="dxa"/>
            <w:tcBorders>
              <w:top w:val="nil"/>
              <w:left w:val="nil"/>
              <w:bottom w:val="single" w:color="auto" w:sz="4" w:space="0"/>
              <w:right w:val="single" w:color="auto" w:sz="4" w:space="0"/>
            </w:tcBorders>
            <w:shd w:val="clear" w:color="auto" w:fill="auto"/>
            <w:vAlign w:val="center"/>
          </w:tcPr>
          <w:p w14:paraId="0BE7533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0FA74AD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55000</w:t>
            </w:r>
          </w:p>
        </w:tc>
        <w:tc>
          <w:tcPr>
            <w:tcW w:w="1196" w:type="dxa"/>
            <w:tcBorders>
              <w:top w:val="nil"/>
              <w:left w:val="nil"/>
              <w:bottom w:val="single" w:color="auto" w:sz="4" w:space="0"/>
              <w:right w:val="single" w:color="auto" w:sz="4" w:space="0"/>
            </w:tcBorders>
            <w:shd w:val="clear" w:color="auto" w:fill="auto"/>
            <w:vAlign w:val="center"/>
          </w:tcPr>
          <w:p w14:paraId="367DB12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2000</w:t>
            </w:r>
          </w:p>
        </w:tc>
        <w:tc>
          <w:tcPr>
            <w:tcW w:w="658" w:type="dxa"/>
            <w:tcBorders>
              <w:top w:val="nil"/>
              <w:left w:val="nil"/>
              <w:bottom w:val="single" w:color="auto" w:sz="4" w:space="0"/>
              <w:right w:val="single" w:color="auto" w:sz="4" w:space="0"/>
            </w:tcBorders>
            <w:shd w:val="clear" w:color="auto" w:fill="auto"/>
            <w:vAlign w:val="center"/>
          </w:tcPr>
          <w:p w14:paraId="09E4BC7E">
            <w:pPr>
              <w:widowControl/>
              <w:spacing w:line="240" w:lineRule="exact"/>
              <w:jc w:val="center"/>
              <w:rPr>
                <w:rFonts w:hint="eastAsia" w:ascii="仿宋_GB2312" w:hAnsi="仿宋_GB2312" w:eastAsia="仿宋_GB2312" w:cs="仿宋_GB2312"/>
                <w:color w:val="auto"/>
                <w:kern w:val="0"/>
                <w:sz w:val="20"/>
                <w:szCs w:val="20"/>
              </w:rPr>
            </w:pPr>
          </w:p>
        </w:tc>
      </w:tr>
      <w:tr w14:paraId="33C7A630">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1CADA5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1-2-4</w:t>
            </w:r>
          </w:p>
        </w:tc>
        <w:tc>
          <w:tcPr>
            <w:tcW w:w="2069" w:type="dxa"/>
            <w:tcBorders>
              <w:top w:val="nil"/>
              <w:left w:val="nil"/>
              <w:bottom w:val="single" w:color="auto" w:sz="4" w:space="0"/>
              <w:right w:val="single" w:color="auto" w:sz="4" w:space="0"/>
            </w:tcBorders>
            <w:shd w:val="clear" w:color="auto" w:fill="auto"/>
            <w:vAlign w:val="center"/>
          </w:tcPr>
          <w:p w14:paraId="3F28171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洛隆县旺西水库</w:t>
            </w:r>
          </w:p>
        </w:tc>
        <w:tc>
          <w:tcPr>
            <w:tcW w:w="932" w:type="dxa"/>
            <w:tcBorders>
              <w:top w:val="nil"/>
              <w:left w:val="nil"/>
              <w:bottom w:val="single" w:color="auto" w:sz="4" w:space="0"/>
              <w:right w:val="single" w:color="auto" w:sz="4" w:space="0"/>
            </w:tcBorders>
            <w:shd w:val="clear" w:color="auto" w:fill="auto"/>
            <w:vAlign w:val="center"/>
          </w:tcPr>
          <w:p w14:paraId="27CEED4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712F788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C545EC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27101D88">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水库总库容110.2万立方米，设计灌溉面积为8300亩，供水人口为5127人</w:t>
            </w:r>
          </w:p>
        </w:tc>
        <w:tc>
          <w:tcPr>
            <w:tcW w:w="932" w:type="dxa"/>
            <w:tcBorders>
              <w:top w:val="nil"/>
              <w:left w:val="nil"/>
              <w:bottom w:val="single" w:color="auto" w:sz="4" w:space="0"/>
              <w:right w:val="single" w:color="auto" w:sz="4" w:space="0"/>
            </w:tcBorders>
            <w:shd w:val="clear" w:color="auto" w:fill="auto"/>
            <w:vAlign w:val="center"/>
          </w:tcPr>
          <w:p w14:paraId="1CDDE58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0276170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30E67B7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41D3EBD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18901</w:t>
            </w:r>
          </w:p>
        </w:tc>
        <w:tc>
          <w:tcPr>
            <w:tcW w:w="1196" w:type="dxa"/>
            <w:tcBorders>
              <w:top w:val="nil"/>
              <w:left w:val="nil"/>
              <w:bottom w:val="single" w:color="auto" w:sz="4" w:space="0"/>
              <w:right w:val="single" w:color="auto" w:sz="4" w:space="0"/>
            </w:tcBorders>
            <w:shd w:val="clear" w:color="auto" w:fill="auto"/>
            <w:vAlign w:val="center"/>
          </w:tcPr>
          <w:p w14:paraId="7A7A11A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6300</w:t>
            </w:r>
          </w:p>
        </w:tc>
        <w:tc>
          <w:tcPr>
            <w:tcW w:w="658" w:type="dxa"/>
            <w:tcBorders>
              <w:top w:val="nil"/>
              <w:left w:val="nil"/>
              <w:bottom w:val="single" w:color="auto" w:sz="4" w:space="0"/>
              <w:right w:val="single" w:color="auto" w:sz="4" w:space="0"/>
            </w:tcBorders>
            <w:shd w:val="clear" w:color="auto" w:fill="auto"/>
            <w:vAlign w:val="center"/>
          </w:tcPr>
          <w:p w14:paraId="650AA2D2">
            <w:pPr>
              <w:widowControl/>
              <w:spacing w:line="240" w:lineRule="exact"/>
              <w:jc w:val="center"/>
              <w:rPr>
                <w:rFonts w:hint="eastAsia" w:ascii="仿宋_GB2312" w:hAnsi="仿宋_GB2312" w:eastAsia="仿宋_GB2312" w:cs="仿宋_GB2312"/>
                <w:color w:val="auto"/>
                <w:kern w:val="0"/>
                <w:sz w:val="20"/>
                <w:szCs w:val="20"/>
              </w:rPr>
            </w:pPr>
          </w:p>
        </w:tc>
      </w:tr>
      <w:tr w14:paraId="3E098C33">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79B85E98">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1-3</w:t>
            </w:r>
          </w:p>
        </w:tc>
        <w:tc>
          <w:tcPr>
            <w:tcW w:w="2069" w:type="dxa"/>
            <w:tcBorders>
              <w:top w:val="nil"/>
              <w:left w:val="nil"/>
              <w:bottom w:val="single" w:color="auto" w:sz="4" w:space="0"/>
              <w:right w:val="single" w:color="auto" w:sz="4" w:space="0"/>
            </w:tcBorders>
            <w:shd w:val="clear" w:color="auto" w:fill="auto"/>
            <w:vAlign w:val="center"/>
          </w:tcPr>
          <w:p w14:paraId="7DD8814F">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城市饮用水源地工程</w:t>
            </w:r>
          </w:p>
        </w:tc>
        <w:tc>
          <w:tcPr>
            <w:tcW w:w="932" w:type="dxa"/>
            <w:tcBorders>
              <w:top w:val="nil"/>
              <w:left w:val="nil"/>
              <w:bottom w:val="single" w:color="auto" w:sz="4" w:space="0"/>
              <w:right w:val="single" w:color="auto" w:sz="4" w:space="0"/>
            </w:tcBorders>
            <w:shd w:val="clear" w:color="auto" w:fill="auto"/>
            <w:vAlign w:val="center"/>
          </w:tcPr>
          <w:p w14:paraId="587234C6">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w:t>
            </w:r>
          </w:p>
        </w:tc>
        <w:tc>
          <w:tcPr>
            <w:tcW w:w="732" w:type="dxa"/>
            <w:tcBorders>
              <w:top w:val="nil"/>
              <w:left w:val="nil"/>
              <w:bottom w:val="single" w:color="auto" w:sz="4" w:space="0"/>
              <w:right w:val="single" w:color="auto" w:sz="4" w:space="0"/>
            </w:tcBorders>
            <w:shd w:val="clear" w:color="auto" w:fill="auto"/>
            <w:vAlign w:val="center"/>
          </w:tcPr>
          <w:p w14:paraId="156B28FA">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3F8054EA">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3ADC08FB">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2CC00868">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5B0F130E">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0A587A0D">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1F4E1B5D">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8000</w:t>
            </w:r>
          </w:p>
        </w:tc>
        <w:tc>
          <w:tcPr>
            <w:tcW w:w="1196" w:type="dxa"/>
            <w:tcBorders>
              <w:top w:val="nil"/>
              <w:left w:val="nil"/>
              <w:bottom w:val="single" w:color="auto" w:sz="4" w:space="0"/>
              <w:right w:val="single" w:color="auto" w:sz="4" w:space="0"/>
            </w:tcBorders>
            <w:shd w:val="clear" w:color="auto" w:fill="auto"/>
            <w:vAlign w:val="center"/>
          </w:tcPr>
          <w:p w14:paraId="3DC2D42E">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2000</w:t>
            </w:r>
          </w:p>
        </w:tc>
        <w:tc>
          <w:tcPr>
            <w:tcW w:w="658" w:type="dxa"/>
            <w:tcBorders>
              <w:top w:val="nil"/>
              <w:left w:val="nil"/>
              <w:bottom w:val="single" w:color="auto" w:sz="4" w:space="0"/>
              <w:right w:val="single" w:color="auto" w:sz="4" w:space="0"/>
            </w:tcBorders>
            <w:shd w:val="clear" w:color="auto" w:fill="auto"/>
            <w:vAlign w:val="center"/>
          </w:tcPr>
          <w:p w14:paraId="56BE060E">
            <w:pPr>
              <w:widowControl/>
              <w:spacing w:line="240" w:lineRule="exact"/>
              <w:jc w:val="center"/>
              <w:rPr>
                <w:rFonts w:hint="eastAsia" w:ascii="仿宋_GB2312" w:hAnsi="仿宋_GB2312" w:eastAsia="仿宋_GB2312" w:cs="仿宋_GB2312"/>
                <w:b/>
                <w:bCs/>
                <w:color w:val="auto"/>
                <w:kern w:val="0"/>
                <w:sz w:val="20"/>
                <w:szCs w:val="20"/>
              </w:rPr>
            </w:pPr>
          </w:p>
        </w:tc>
      </w:tr>
      <w:tr w14:paraId="62BABB8D">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5135D1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1-3-1</w:t>
            </w:r>
          </w:p>
        </w:tc>
        <w:tc>
          <w:tcPr>
            <w:tcW w:w="2069" w:type="dxa"/>
            <w:tcBorders>
              <w:top w:val="nil"/>
              <w:left w:val="nil"/>
              <w:bottom w:val="single" w:color="auto" w:sz="4" w:space="0"/>
              <w:right w:val="single" w:color="auto" w:sz="4" w:space="0"/>
            </w:tcBorders>
            <w:shd w:val="clear" w:color="auto" w:fill="auto"/>
            <w:vAlign w:val="center"/>
          </w:tcPr>
          <w:p w14:paraId="31D6B59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江达县县城水源地建设工程</w:t>
            </w:r>
          </w:p>
        </w:tc>
        <w:tc>
          <w:tcPr>
            <w:tcW w:w="932" w:type="dxa"/>
            <w:tcBorders>
              <w:top w:val="nil"/>
              <w:left w:val="nil"/>
              <w:bottom w:val="single" w:color="auto" w:sz="4" w:space="0"/>
              <w:right w:val="single" w:color="auto" w:sz="4" w:space="0"/>
            </w:tcBorders>
            <w:shd w:val="clear" w:color="auto" w:fill="auto"/>
            <w:vAlign w:val="center"/>
          </w:tcPr>
          <w:p w14:paraId="2E4B48C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160E0FC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880408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可研已审，初设在编</w:t>
            </w:r>
          </w:p>
        </w:tc>
        <w:tc>
          <w:tcPr>
            <w:tcW w:w="3116" w:type="dxa"/>
            <w:tcBorders>
              <w:top w:val="nil"/>
              <w:left w:val="nil"/>
              <w:bottom w:val="single" w:color="auto" w:sz="4" w:space="0"/>
              <w:right w:val="single" w:color="auto" w:sz="4" w:space="0"/>
            </w:tcBorders>
            <w:shd w:val="clear" w:color="auto" w:fill="auto"/>
            <w:vAlign w:val="center"/>
          </w:tcPr>
          <w:p w14:paraId="596EBA3E">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设计供水能力每年120.5万立方米，规划县城供水人口2.2万人，新建水库1座，库容40万立方米，管道3.5公里，管理用房、净水设施设备等</w:t>
            </w:r>
          </w:p>
        </w:tc>
        <w:tc>
          <w:tcPr>
            <w:tcW w:w="932" w:type="dxa"/>
            <w:tcBorders>
              <w:top w:val="nil"/>
              <w:left w:val="nil"/>
              <w:bottom w:val="single" w:color="auto" w:sz="4" w:space="0"/>
              <w:right w:val="single" w:color="auto" w:sz="4" w:space="0"/>
            </w:tcBorders>
            <w:shd w:val="clear" w:color="auto" w:fill="auto"/>
            <w:vAlign w:val="center"/>
          </w:tcPr>
          <w:p w14:paraId="2096328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387B35B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09B4305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7E8FF8B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8000</w:t>
            </w:r>
          </w:p>
        </w:tc>
        <w:tc>
          <w:tcPr>
            <w:tcW w:w="1196" w:type="dxa"/>
            <w:tcBorders>
              <w:top w:val="nil"/>
              <w:left w:val="nil"/>
              <w:bottom w:val="single" w:color="auto" w:sz="4" w:space="0"/>
              <w:right w:val="single" w:color="auto" w:sz="4" w:space="0"/>
            </w:tcBorders>
            <w:shd w:val="clear" w:color="auto" w:fill="auto"/>
            <w:vAlign w:val="center"/>
          </w:tcPr>
          <w:p w14:paraId="164086A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2000</w:t>
            </w:r>
          </w:p>
        </w:tc>
        <w:tc>
          <w:tcPr>
            <w:tcW w:w="658" w:type="dxa"/>
            <w:tcBorders>
              <w:top w:val="nil"/>
              <w:left w:val="nil"/>
              <w:bottom w:val="single" w:color="auto" w:sz="4" w:space="0"/>
              <w:right w:val="single" w:color="auto" w:sz="4" w:space="0"/>
            </w:tcBorders>
            <w:shd w:val="clear" w:color="auto" w:fill="auto"/>
            <w:vAlign w:val="center"/>
          </w:tcPr>
          <w:p w14:paraId="1C2A32A6">
            <w:pPr>
              <w:widowControl/>
              <w:spacing w:line="240" w:lineRule="exact"/>
              <w:jc w:val="center"/>
              <w:rPr>
                <w:rFonts w:hint="eastAsia" w:ascii="仿宋_GB2312" w:hAnsi="仿宋_GB2312" w:eastAsia="仿宋_GB2312" w:cs="仿宋_GB2312"/>
                <w:color w:val="auto"/>
                <w:kern w:val="0"/>
                <w:sz w:val="20"/>
                <w:szCs w:val="20"/>
              </w:rPr>
            </w:pPr>
          </w:p>
        </w:tc>
      </w:tr>
      <w:tr w14:paraId="0FBE4AC7">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1C41214">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1-4</w:t>
            </w:r>
          </w:p>
        </w:tc>
        <w:tc>
          <w:tcPr>
            <w:tcW w:w="2069" w:type="dxa"/>
            <w:tcBorders>
              <w:top w:val="nil"/>
              <w:left w:val="nil"/>
              <w:bottom w:val="single" w:color="auto" w:sz="4" w:space="0"/>
              <w:right w:val="single" w:color="auto" w:sz="4" w:space="0"/>
            </w:tcBorders>
            <w:shd w:val="clear" w:color="auto" w:fill="auto"/>
            <w:vAlign w:val="center"/>
          </w:tcPr>
          <w:p w14:paraId="2F0048A4">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重点灌区与节水增效工程</w:t>
            </w:r>
          </w:p>
        </w:tc>
        <w:tc>
          <w:tcPr>
            <w:tcW w:w="932" w:type="dxa"/>
            <w:tcBorders>
              <w:top w:val="nil"/>
              <w:left w:val="nil"/>
              <w:bottom w:val="single" w:color="auto" w:sz="4" w:space="0"/>
              <w:right w:val="single" w:color="auto" w:sz="4" w:space="0"/>
            </w:tcBorders>
            <w:shd w:val="clear" w:color="auto" w:fill="auto"/>
            <w:vAlign w:val="center"/>
          </w:tcPr>
          <w:p w14:paraId="584BF42E">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9</w:t>
            </w:r>
          </w:p>
        </w:tc>
        <w:tc>
          <w:tcPr>
            <w:tcW w:w="732" w:type="dxa"/>
            <w:tcBorders>
              <w:top w:val="nil"/>
              <w:left w:val="nil"/>
              <w:bottom w:val="single" w:color="auto" w:sz="4" w:space="0"/>
              <w:right w:val="single" w:color="auto" w:sz="4" w:space="0"/>
            </w:tcBorders>
            <w:shd w:val="clear" w:color="auto" w:fill="auto"/>
            <w:vAlign w:val="center"/>
          </w:tcPr>
          <w:p w14:paraId="62D6ECDD">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343533F0">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2DF59495">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48C38B1B">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6394CA08">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045E0F4E">
            <w:pPr>
              <w:widowControl/>
              <w:spacing w:line="240" w:lineRule="exact"/>
              <w:jc w:val="both"/>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11DBFB4D">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116551</w:t>
            </w:r>
          </w:p>
        </w:tc>
        <w:tc>
          <w:tcPr>
            <w:tcW w:w="1196" w:type="dxa"/>
            <w:tcBorders>
              <w:top w:val="nil"/>
              <w:left w:val="nil"/>
              <w:bottom w:val="single" w:color="auto" w:sz="4" w:space="0"/>
              <w:right w:val="single" w:color="auto" w:sz="4" w:space="0"/>
            </w:tcBorders>
            <w:shd w:val="clear" w:color="auto" w:fill="auto"/>
            <w:vAlign w:val="center"/>
          </w:tcPr>
          <w:p w14:paraId="1EFEE97A">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15573</w:t>
            </w:r>
          </w:p>
        </w:tc>
        <w:tc>
          <w:tcPr>
            <w:tcW w:w="658" w:type="dxa"/>
            <w:tcBorders>
              <w:top w:val="nil"/>
              <w:left w:val="nil"/>
              <w:bottom w:val="single" w:color="auto" w:sz="4" w:space="0"/>
              <w:right w:val="single" w:color="auto" w:sz="4" w:space="0"/>
            </w:tcBorders>
            <w:shd w:val="clear" w:color="auto" w:fill="auto"/>
            <w:vAlign w:val="center"/>
          </w:tcPr>
          <w:p w14:paraId="219611A0">
            <w:pPr>
              <w:widowControl/>
              <w:spacing w:line="240" w:lineRule="exact"/>
              <w:jc w:val="center"/>
              <w:rPr>
                <w:rFonts w:hint="eastAsia" w:ascii="仿宋_GB2312" w:hAnsi="仿宋_GB2312" w:eastAsia="仿宋_GB2312" w:cs="仿宋_GB2312"/>
                <w:b/>
                <w:bCs/>
                <w:color w:val="auto"/>
                <w:kern w:val="0"/>
                <w:sz w:val="20"/>
                <w:szCs w:val="20"/>
              </w:rPr>
            </w:pPr>
          </w:p>
        </w:tc>
      </w:tr>
      <w:tr w14:paraId="08BC84BF">
        <w:tblPrEx>
          <w:tblCellMar>
            <w:top w:w="0" w:type="dxa"/>
            <w:left w:w="51" w:type="dxa"/>
            <w:bottom w:w="0" w:type="dxa"/>
            <w:right w:w="51" w:type="dxa"/>
          </w:tblCellMar>
        </w:tblPrEx>
        <w:trPr>
          <w:trHeight w:val="63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591C18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1-4-1</w:t>
            </w:r>
          </w:p>
        </w:tc>
        <w:tc>
          <w:tcPr>
            <w:tcW w:w="2069" w:type="dxa"/>
            <w:tcBorders>
              <w:top w:val="nil"/>
              <w:left w:val="nil"/>
              <w:bottom w:val="single" w:color="auto" w:sz="4" w:space="0"/>
              <w:right w:val="single" w:color="auto" w:sz="4" w:space="0"/>
            </w:tcBorders>
            <w:shd w:val="clear" w:color="auto" w:fill="auto"/>
            <w:vAlign w:val="center"/>
          </w:tcPr>
          <w:p w14:paraId="4E7F113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类乌齐县吉多乡灌区</w:t>
            </w:r>
          </w:p>
        </w:tc>
        <w:tc>
          <w:tcPr>
            <w:tcW w:w="932" w:type="dxa"/>
            <w:tcBorders>
              <w:top w:val="nil"/>
              <w:left w:val="nil"/>
              <w:bottom w:val="single" w:color="auto" w:sz="4" w:space="0"/>
              <w:right w:val="single" w:color="auto" w:sz="4" w:space="0"/>
            </w:tcBorders>
            <w:shd w:val="clear" w:color="auto" w:fill="auto"/>
            <w:vAlign w:val="center"/>
          </w:tcPr>
          <w:p w14:paraId="7A6C181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w:t>
            </w:r>
          </w:p>
        </w:tc>
        <w:tc>
          <w:tcPr>
            <w:tcW w:w="732" w:type="dxa"/>
            <w:tcBorders>
              <w:top w:val="nil"/>
              <w:left w:val="nil"/>
              <w:bottom w:val="single" w:color="auto" w:sz="4" w:space="0"/>
              <w:right w:val="single" w:color="auto" w:sz="4" w:space="0"/>
            </w:tcBorders>
            <w:shd w:val="clear" w:color="auto" w:fill="auto"/>
            <w:vAlign w:val="center"/>
          </w:tcPr>
          <w:p w14:paraId="253DEA2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3F3E667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55BBDB09">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干管总长9.694公里，支管总长7.759公里，以及渠系配套建筑物等</w:t>
            </w:r>
          </w:p>
        </w:tc>
        <w:tc>
          <w:tcPr>
            <w:tcW w:w="932" w:type="dxa"/>
            <w:tcBorders>
              <w:top w:val="nil"/>
              <w:left w:val="nil"/>
              <w:bottom w:val="single" w:color="auto" w:sz="4" w:space="0"/>
              <w:right w:val="single" w:color="auto" w:sz="4" w:space="0"/>
            </w:tcBorders>
            <w:shd w:val="clear" w:color="auto" w:fill="auto"/>
            <w:vAlign w:val="center"/>
          </w:tcPr>
          <w:p w14:paraId="29C70C3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367A754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267CA68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216BE97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1182</w:t>
            </w:r>
          </w:p>
        </w:tc>
        <w:tc>
          <w:tcPr>
            <w:tcW w:w="1196" w:type="dxa"/>
            <w:tcBorders>
              <w:top w:val="nil"/>
              <w:left w:val="nil"/>
              <w:bottom w:val="single" w:color="auto" w:sz="4" w:space="0"/>
              <w:right w:val="single" w:color="auto" w:sz="4" w:space="0"/>
            </w:tcBorders>
            <w:shd w:val="clear" w:color="auto" w:fill="auto"/>
            <w:vAlign w:val="center"/>
          </w:tcPr>
          <w:p w14:paraId="3AF8D1C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1182</w:t>
            </w:r>
          </w:p>
        </w:tc>
        <w:tc>
          <w:tcPr>
            <w:tcW w:w="658" w:type="dxa"/>
            <w:tcBorders>
              <w:top w:val="nil"/>
              <w:left w:val="nil"/>
              <w:bottom w:val="single" w:color="auto" w:sz="4" w:space="0"/>
              <w:right w:val="single" w:color="auto" w:sz="4" w:space="0"/>
            </w:tcBorders>
            <w:shd w:val="clear" w:color="auto" w:fill="auto"/>
            <w:vAlign w:val="center"/>
          </w:tcPr>
          <w:p w14:paraId="58DC66EF">
            <w:pPr>
              <w:widowControl/>
              <w:spacing w:line="240" w:lineRule="exact"/>
              <w:jc w:val="center"/>
              <w:rPr>
                <w:rFonts w:hint="eastAsia" w:ascii="仿宋_GB2312" w:hAnsi="仿宋_GB2312" w:eastAsia="仿宋_GB2312" w:cs="仿宋_GB2312"/>
                <w:color w:val="auto"/>
                <w:kern w:val="0"/>
                <w:sz w:val="20"/>
                <w:szCs w:val="20"/>
              </w:rPr>
            </w:pPr>
          </w:p>
        </w:tc>
      </w:tr>
      <w:tr w14:paraId="63E774B3">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783D6AE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1-4-2</w:t>
            </w:r>
          </w:p>
        </w:tc>
        <w:tc>
          <w:tcPr>
            <w:tcW w:w="2069" w:type="dxa"/>
            <w:tcBorders>
              <w:top w:val="nil"/>
              <w:left w:val="nil"/>
              <w:bottom w:val="single" w:color="auto" w:sz="4" w:space="0"/>
              <w:right w:val="single" w:color="auto" w:sz="4" w:space="0"/>
            </w:tcBorders>
            <w:shd w:val="clear" w:color="auto" w:fill="auto"/>
            <w:vAlign w:val="center"/>
          </w:tcPr>
          <w:p w14:paraId="28BE4A1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八宿县同卡镇莫普灌区</w:t>
            </w:r>
          </w:p>
        </w:tc>
        <w:tc>
          <w:tcPr>
            <w:tcW w:w="932" w:type="dxa"/>
            <w:tcBorders>
              <w:top w:val="nil"/>
              <w:left w:val="nil"/>
              <w:bottom w:val="single" w:color="auto" w:sz="4" w:space="0"/>
              <w:right w:val="single" w:color="auto" w:sz="4" w:space="0"/>
            </w:tcBorders>
            <w:shd w:val="clear" w:color="auto" w:fill="auto"/>
            <w:vAlign w:val="center"/>
          </w:tcPr>
          <w:p w14:paraId="324C763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70C73FA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3A3924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715D18C2">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取水枢纽1座，</w:t>
            </w:r>
            <w:r>
              <w:rPr>
                <w:rFonts w:hint="eastAsia" w:ascii="仿宋_GB2312" w:hAnsi="仿宋_GB2312" w:eastAsia="仿宋_GB2312" w:cs="仿宋_GB2312"/>
                <w:color w:val="auto"/>
                <w:kern w:val="0"/>
                <w:sz w:val="20"/>
                <w:szCs w:val="20"/>
                <w:highlight w:val="none"/>
              </w:rPr>
              <w:t>沉砂池</w:t>
            </w:r>
            <w:r>
              <w:rPr>
                <w:rFonts w:hint="eastAsia" w:ascii="仿宋_GB2312" w:hAnsi="仿宋_GB2312" w:eastAsia="仿宋_GB2312" w:cs="仿宋_GB2312"/>
                <w:color w:val="auto"/>
                <w:kern w:val="0"/>
                <w:sz w:val="20"/>
                <w:szCs w:val="20"/>
              </w:rPr>
              <w:t>3座，蓄水池1座，管道20千米</w:t>
            </w:r>
          </w:p>
        </w:tc>
        <w:tc>
          <w:tcPr>
            <w:tcW w:w="932" w:type="dxa"/>
            <w:tcBorders>
              <w:top w:val="nil"/>
              <w:left w:val="nil"/>
              <w:bottom w:val="single" w:color="auto" w:sz="4" w:space="0"/>
              <w:right w:val="single" w:color="auto" w:sz="4" w:space="0"/>
            </w:tcBorders>
            <w:shd w:val="clear" w:color="auto" w:fill="auto"/>
            <w:vAlign w:val="center"/>
          </w:tcPr>
          <w:p w14:paraId="73F264F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15200AA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29EA442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2C6080D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2609</w:t>
            </w:r>
          </w:p>
        </w:tc>
        <w:tc>
          <w:tcPr>
            <w:tcW w:w="1196" w:type="dxa"/>
            <w:tcBorders>
              <w:top w:val="nil"/>
              <w:left w:val="nil"/>
              <w:bottom w:val="single" w:color="auto" w:sz="4" w:space="0"/>
              <w:right w:val="single" w:color="auto" w:sz="4" w:space="0"/>
            </w:tcBorders>
            <w:shd w:val="clear" w:color="auto" w:fill="auto"/>
            <w:vAlign w:val="center"/>
          </w:tcPr>
          <w:p w14:paraId="0DD02AC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2609</w:t>
            </w:r>
          </w:p>
        </w:tc>
        <w:tc>
          <w:tcPr>
            <w:tcW w:w="658" w:type="dxa"/>
            <w:tcBorders>
              <w:top w:val="nil"/>
              <w:left w:val="nil"/>
              <w:bottom w:val="single" w:color="auto" w:sz="4" w:space="0"/>
              <w:right w:val="single" w:color="auto" w:sz="4" w:space="0"/>
            </w:tcBorders>
            <w:shd w:val="clear" w:color="auto" w:fill="auto"/>
            <w:vAlign w:val="center"/>
          </w:tcPr>
          <w:p w14:paraId="4034FA66">
            <w:pPr>
              <w:widowControl/>
              <w:spacing w:line="240" w:lineRule="exact"/>
              <w:jc w:val="center"/>
              <w:rPr>
                <w:rFonts w:hint="eastAsia" w:ascii="仿宋_GB2312" w:hAnsi="仿宋_GB2312" w:eastAsia="仿宋_GB2312" w:cs="仿宋_GB2312"/>
                <w:color w:val="auto"/>
                <w:kern w:val="0"/>
                <w:sz w:val="20"/>
                <w:szCs w:val="20"/>
              </w:rPr>
            </w:pPr>
          </w:p>
        </w:tc>
      </w:tr>
      <w:tr w14:paraId="151C2EBA">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DD2309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1-4-3</w:t>
            </w:r>
          </w:p>
        </w:tc>
        <w:tc>
          <w:tcPr>
            <w:tcW w:w="2069" w:type="dxa"/>
            <w:tcBorders>
              <w:top w:val="nil"/>
              <w:left w:val="nil"/>
              <w:bottom w:val="single" w:color="auto" w:sz="4" w:space="0"/>
              <w:right w:val="single" w:color="auto" w:sz="4" w:space="0"/>
            </w:tcBorders>
            <w:shd w:val="clear" w:color="auto" w:fill="auto"/>
            <w:vAlign w:val="center"/>
          </w:tcPr>
          <w:p w14:paraId="155D873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洛隆县马利灌区</w:t>
            </w:r>
          </w:p>
        </w:tc>
        <w:tc>
          <w:tcPr>
            <w:tcW w:w="932" w:type="dxa"/>
            <w:tcBorders>
              <w:top w:val="nil"/>
              <w:left w:val="nil"/>
              <w:bottom w:val="single" w:color="auto" w:sz="4" w:space="0"/>
              <w:right w:val="single" w:color="auto" w:sz="4" w:space="0"/>
            </w:tcBorders>
            <w:shd w:val="clear" w:color="auto" w:fill="auto"/>
            <w:vAlign w:val="center"/>
          </w:tcPr>
          <w:p w14:paraId="38D23C9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7C66A06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3CEFA4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19E6ED37">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干管总长9.898千米，支渠5.738公里，以及渠系配套建筑物等</w:t>
            </w:r>
          </w:p>
        </w:tc>
        <w:tc>
          <w:tcPr>
            <w:tcW w:w="932" w:type="dxa"/>
            <w:tcBorders>
              <w:top w:val="nil"/>
              <w:left w:val="nil"/>
              <w:bottom w:val="single" w:color="auto" w:sz="4" w:space="0"/>
              <w:right w:val="single" w:color="auto" w:sz="4" w:space="0"/>
            </w:tcBorders>
            <w:shd w:val="clear" w:color="auto" w:fill="auto"/>
            <w:vAlign w:val="center"/>
          </w:tcPr>
          <w:p w14:paraId="58C2323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3C9BCBE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75BEF44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1098594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1858</w:t>
            </w:r>
          </w:p>
        </w:tc>
        <w:tc>
          <w:tcPr>
            <w:tcW w:w="1196" w:type="dxa"/>
            <w:tcBorders>
              <w:top w:val="nil"/>
              <w:left w:val="nil"/>
              <w:bottom w:val="single" w:color="auto" w:sz="4" w:space="0"/>
              <w:right w:val="single" w:color="auto" w:sz="4" w:space="0"/>
            </w:tcBorders>
            <w:shd w:val="clear" w:color="auto" w:fill="auto"/>
            <w:vAlign w:val="center"/>
          </w:tcPr>
          <w:p w14:paraId="647DE81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1858</w:t>
            </w:r>
          </w:p>
        </w:tc>
        <w:tc>
          <w:tcPr>
            <w:tcW w:w="658" w:type="dxa"/>
            <w:tcBorders>
              <w:top w:val="nil"/>
              <w:left w:val="nil"/>
              <w:bottom w:val="single" w:color="auto" w:sz="4" w:space="0"/>
              <w:right w:val="single" w:color="auto" w:sz="4" w:space="0"/>
            </w:tcBorders>
            <w:shd w:val="clear" w:color="auto" w:fill="auto"/>
            <w:vAlign w:val="center"/>
          </w:tcPr>
          <w:p w14:paraId="20736A86">
            <w:pPr>
              <w:widowControl/>
              <w:spacing w:line="240" w:lineRule="exact"/>
              <w:jc w:val="both"/>
              <w:rPr>
                <w:rFonts w:hint="eastAsia" w:ascii="仿宋_GB2312" w:hAnsi="仿宋_GB2312" w:eastAsia="仿宋_GB2312" w:cs="仿宋_GB2312"/>
                <w:color w:val="auto"/>
                <w:kern w:val="0"/>
                <w:sz w:val="20"/>
                <w:szCs w:val="20"/>
              </w:rPr>
            </w:pPr>
          </w:p>
        </w:tc>
      </w:tr>
      <w:tr w14:paraId="73CD5A03">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7418DB7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1-4-4</w:t>
            </w:r>
          </w:p>
        </w:tc>
        <w:tc>
          <w:tcPr>
            <w:tcW w:w="2069" w:type="dxa"/>
            <w:tcBorders>
              <w:top w:val="nil"/>
              <w:left w:val="nil"/>
              <w:bottom w:val="single" w:color="auto" w:sz="4" w:space="0"/>
              <w:right w:val="single" w:color="auto" w:sz="4" w:space="0"/>
            </w:tcBorders>
            <w:shd w:val="clear" w:color="auto" w:fill="auto"/>
            <w:vAlign w:val="center"/>
          </w:tcPr>
          <w:p w14:paraId="7C603C7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芒康县盐井灌区扎西永顶片区工程</w:t>
            </w:r>
          </w:p>
        </w:tc>
        <w:tc>
          <w:tcPr>
            <w:tcW w:w="932" w:type="dxa"/>
            <w:tcBorders>
              <w:top w:val="nil"/>
              <w:left w:val="nil"/>
              <w:bottom w:val="single" w:color="auto" w:sz="4" w:space="0"/>
              <w:right w:val="single" w:color="auto" w:sz="4" w:space="0"/>
            </w:tcBorders>
            <w:shd w:val="clear" w:color="auto" w:fill="auto"/>
            <w:vAlign w:val="center"/>
          </w:tcPr>
          <w:p w14:paraId="5395B91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w:t>
            </w:r>
          </w:p>
        </w:tc>
        <w:tc>
          <w:tcPr>
            <w:tcW w:w="732" w:type="dxa"/>
            <w:tcBorders>
              <w:top w:val="nil"/>
              <w:left w:val="nil"/>
              <w:bottom w:val="single" w:color="auto" w:sz="4" w:space="0"/>
              <w:right w:val="single" w:color="auto" w:sz="4" w:space="0"/>
            </w:tcBorders>
            <w:shd w:val="clear" w:color="auto" w:fill="auto"/>
            <w:vAlign w:val="center"/>
          </w:tcPr>
          <w:p w14:paraId="0881782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1327B3F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2A3B5AAF">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新建输水管32.209</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，取水口2处，</w:t>
            </w:r>
            <w:r>
              <w:rPr>
                <w:rFonts w:hint="eastAsia" w:ascii="仿宋_GB2312" w:hAnsi="仿宋_GB2312" w:eastAsia="仿宋_GB2312" w:cs="仿宋_GB2312"/>
                <w:color w:val="auto"/>
                <w:kern w:val="0"/>
                <w:sz w:val="20"/>
                <w:szCs w:val="20"/>
                <w:highlight w:val="none"/>
              </w:rPr>
              <w:t>沉砂池</w:t>
            </w:r>
            <w:r>
              <w:rPr>
                <w:rFonts w:hint="eastAsia" w:ascii="仿宋_GB2312" w:hAnsi="仿宋_GB2312" w:eastAsia="仿宋_GB2312" w:cs="仿宋_GB2312"/>
                <w:color w:val="auto"/>
                <w:kern w:val="0"/>
                <w:sz w:val="20"/>
                <w:szCs w:val="20"/>
              </w:rPr>
              <w:t>2个，引水渠2条，跨江桥3座，宫桥4座，消力池10个</w:t>
            </w:r>
          </w:p>
        </w:tc>
        <w:tc>
          <w:tcPr>
            <w:tcW w:w="932" w:type="dxa"/>
            <w:tcBorders>
              <w:top w:val="nil"/>
              <w:left w:val="nil"/>
              <w:bottom w:val="single" w:color="auto" w:sz="4" w:space="0"/>
              <w:right w:val="single" w:color="auto" w:sz="4" w:space="0"/>
            </w:tcBorders>
            <w:shd w:val="clear" w:color="auto" w:fill="auto"/>
            <w:vAlign w:val="center"/>
          </w:tcPr>
          <w:p w14:paraId="1A2099D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3DA4758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5CDF0DF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3D6FA4E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9624</w:t>
            </w:r>
          </w:p>
        </w:tc>
        <w:tc>
          <w:tcPr>
            <w:tcW w:w="1196" w:type="dxa"/>
            <w:tcBorders>
              <w:top w:val="nil"/>
              <w:left w:val="nil"/>
              <w:bottom w:val="single" w:color="auto" w:sz="4" w:space="0"/>
              <w:right w:val="single" w:color="auto" w:sz="4" w:space="0"/>
            </w:tcBorders>
            <w:shd w:val="clear" w:color="auto" w:fill="auto"/>
            <w:vAlign w:val="center"/>
          </w:tcPr>
          <w:p w14:paraId="5CC5F03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9624</w:t>
            </w:r>
          </w:p>
        </w:tc>
        <w:tc>
          <w:tcPr>
            <w:tcW w:w="658" w:type="dxa"/>
            <w:tcBorders>
              <w:top w:val="nil"/>
              <w:left w:val="nil"/>
              <w:bottom w:val="single" w:color="auto" w:sz="4" w:space="0"/>
              <w:right w:val="single" w:color="auto" w:sz="4" w:space="0"/>
            </w:tcBorders>
            <w:shd w:val="clear" w:color="auto" w:fill="auto"/>
            <w:vAlign w:val="center"/>
          </w:tcPr>
          <w:p w14:paraId="113DFCFA">
            <w:pPr>
              <w:widowControl/>
              <w:spacing w:line="240" w:lineRule="exact"/>
              <w:jc w:val="center"/>
              <w:rPr>
                <w:rFonts w:hint="eastAsia" w:ascii="仿宋_GB2312" w:hAnsi="仿宋_GB2312" w:eastAsia="仿宋_GB2312" w:cs="仿宋_GB2312"/>
                <w:color w:val="auto"/>
                <w:kern w:val="0"/>
                <w:sz w:val="20"/>
                <w:szCs w:val="20"/>
              </w:rPr>
            </w:pPr>
          </w:p>
        </w:tc>
      </w:tr>
      <w:tr w14:paraId="298221A2">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94FDEF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1-4-5</w:t>
            </w:r>
          </w:p>
        </w:tc>
        <w:tc>
          <w:tcPr>
            <w:tcW w:w="2069" w:type="dxa"/>
            <w:tcBorders>
              <w:top w:val="nil"/>
              <w:left w:val="nil"/>
              <w:bottom w:val="single" w:color="auto" w:sz="4" w:space="0"/>
              <w:right w:val="single" w:color="auto" w:sz="4" w:space="0"/>
            </w:tcBorders>
            <w:shd w:val="clear" w:color="auto" w:fill="auto"/>
            <w:vAlign w:val="center"/>
          </w:tcPr>
          <w:p w14:paraId="01D20AA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芒康县木许乡木许灌区工程</w:t>
            </w:r>
          </w:p>
        </w:tc>
        <w:tc>
          <w:tcPr>
            <w:tcW w:w="932" w:type="dxa"/>
            <w:tcBorders>
              <w:top w:val="nil"/>
              <w:left w:val="nil"/>
              <w:bottom w:val="single" w:color="auto" w:sz="4" w:space="0"/>
              <w:right w:val="single" w:color="auto" w:sz="4" w:space="0"/>
            </w:tcBorders>
            <w:shd w:val="clear" w:color="auto" w:fill="auto"/>
            <w:vAlign w:val="center"/>
          </w:tcPr>
          <w:p w14:paraId="065D9CA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w:t>
            </w:r>
          </w:p>
        </w:tc>
        <w:tc>
          <w:tcPr>
            <w:tcW w:w="732" w:type="dxa"/>
            <w:tcBorders>
              <w:top w:val="nil"/>
              <w:left w:val="nil"/>
              <w:bottom w:val="single" w:color="auto" w:sz="4" w:space="0"/>
              <w:right w:val="single" w:color="auto" w:sz="4" w:space="0"/>
            </w:tcBorders>
            <w:shd w:val="clear" w:color="auto" w:fill="auto"/>
            <w:vAlign w:val="center"/>
          </w:tcPr>
          <w:p w14:paraId="0D6C70B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32B72CC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编制初设</w:t>
            </w:r>
          </w:p>
        </w:tc>
        <w:tc>
          <w:tcPr>
            <w:tcW w:w="3116" w:type="dxa"/>
            <w:tcBorders>
              <w:top w:val="nil"/>
              <w:left w:val="nil"/>
              <w:bottom w:val="single" w:color="auto" w:sz="4" w:space="0"/>
              <w:right w:val="single" w:color="auto" w:sz="4" w:space="0"/>
            </w:tcBorders>
            <w:shd w:val="clear" w:color="auto" w:fill="auto"/>
            <w:vAlign w:val="center"/>
          </w:tcPr>
          <w:p w14:paraId="7DD3E625">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新建渠道总长57</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，设计灌溉面积0.48万亩</w:t>
            </w:r>
          </w:p>
        </w:tc>
        <w:tc>
          <w:tcPr>
            <w:tcW w:w="932" w:type="dxa"/>
            <w:tcBorders>
              <w:top w:val="nil"/>
              <w:left w:val="nil"/>
              <w:bottom w:val="single" w:color="auto" w:sz="4" w:space="0"/>
              <w:right w:val="single" w:color="auto" w:sz="4" w:space="0"/>
            </w:tcBorders>
            <w:shd w:val="clear" w:color="auto" w:fill="auto"/>
            <w:vAlign w:val="center"/>
          </w:tcPr>
          <w:p w14:paraId="7FE918E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0D3F7A7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228F817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5910736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1757</w:t>
            </w:r>
          </w:p>
        </w:tc>
        <w:tc>
          <w:tcPr>
            <w:tcW w:w="1196" w:type="dxa"/>
            <w:tcBorders>
              <w:top w:val="nil"/>
              <w:left w:val="nil"/>
              <w:bottom w:val="single" w:color="auto" w:sz="4" w:space="0"/>
              <w:right w:val="single" w:color="auto" w:sz="4" w:space="0"/>
            </w:tcBorders>
            <w:shd w:val="clear" w:color="auto" w:fill="auto"/>
            <w:vAlign w:val="center"/>
          </w:tcPr>
          <w:p w14:paraId="4E0E897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100</w:t>
            </w:r>
          </w:p>
        </w:tc>
        <w:tc>
          <w:tcPr>
            <w:tcW w:w="658" w:type="dxa"/>
            <w:tcBorders>
              <w:top w:val="nil"/>
              <w:left w:val="nil"/>
              <w:bottom w:val="single" w:color="auto" w:sz="4" w:space="0"/>
              <w:right w:val="single" w:color="auto" w:sz="4" w:space="0"/>
            </w:tcBorders>
            <w:shd w:val="clear" w:color="auto" w:fill="auto"/>
            <w:vAlign w:val="center"/>
          </w:tcPr>
          <w:p w14:paraId="54035C2E">
            <w:pPr>
              <w:widowControl/>
              <w:spacing w:line="240" w:lineRule="exact"/>
              <w:jc w:val="center"/>
              <w:rPr>
                <w:rFonts w:hint="eastAsia" w:ascii="仿宋_GB2312" w:hAnsi="仿宋_GB2312" w:eastAsia="仿宋_GB2312" w:cs="仿宋_GB2312"/>
                <w:color w:val="auto"/>
                <w:kern w:val="0"/>
                <w:sz w:val="20"/>
                <w:szCs w:val="20"/>
              </w:rPr>
            </w:pPr>
          </w:p>
        </w:tc>
      </w:tr>
      <w:tr w14:paraId="2D207712">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EEC0F8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1-4-6</w:t>
            </w:r>
          </w:p>
        </w:tc>
        <w:tc>
          <w:tcPr>
            <w:tcW w:w="2069" w:type="dxa"/>
            <w:tcBorders>
              <w:top w:val="nil"/>
              <w:left w:val="nil"/>
              <w:bottom w:val="single" w:color="auto" w:sz="4" w:space="0"/>
              <w:right w:val="single" w:color="auto" w:sz="4" w:space="0"/>
            </w:tcBorders>
            <w:shd w:val="clear" w:color="auto" w:fill="auto"/>
            <w:vAlign w:val="center"/>
          </w:tcPr>
          <w:p w14:paraId="5C09CE0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八宿县同卡灌区工程</w:t>
            </w:r>
          </w:p>
        </w:tc>
        <w:tc>
          <w:tcPr>
            <w:tcW w:w="932" w:type="dxa"/>
            <w:tcBorders>
              <w:top w:val="nil"/>
              <w:left w:val="nil"/>
              <w:bottom w:val="single" w:color="auto" w:sz="4" w:space="0"/>
              <w:right w:val="single" w:color="auto" w:sz="4" w:space="0"/>
            </w:tcBorders>
            <w:shd w:val="clear" w:color="auto" w:fill="auto"/>
            <w:vAlign w:val="center"/>
          </w:tcPr>
          <w:p w14:paraId="6334C17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45078C1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310799F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7092C6EF">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总灌溉面积0.8636万亩，新建取水枢纽2座，新建干管24.006公里，支管7.005公里</w:t>
            </w:r>
          </w:p>
        </w:tc>
        <w:tc>
          <w:tcPr>
            <w:tcW w:w="932" w:type="dxa"/>
            <w:tcBorders>
              <w:top w:val="nil"/>
              <w:left w:val="nil"/>
              <w:bottom w:val="single" w:color="auto" w:sz="4" w:space="0"/>
              <w:right w:val="single" w:color="auto" w:sz="4" w:space="0"/>
            </w:tcBorders>
            <w:shd w:val="clear" w:color="auto" w:fill="auto"/>
            <w:vAlign w:val="center"/>
          </w:tcPr>
          <w:p w14:paraId="617433A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946" w:type="dxa"/>
            <w:tcBorders>
              <w:top w:val="nil"/>
              <w:left w:val="nil"/>
              <w:bottom w:val="single" w:color="auto" w:sz="4" w:space="0"/>
              <w:right w:val="single" w:color="auto" w:sz="4" w:space="0"/>
            </w:tcBorders>
            <w:shd w:val="clear" w:color="auto" w:fill="auto"/>
            <w:vAlign w:val="center"/>
          </w:tcPr>
          <w:p w14:paraId="68E4472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5847018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25A6793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4201</w:t>
            </w:r>
          </w:p>
        </w:tc>
        <w:tc>
          <w:tcPr>
            <w:tcW w:w="1196" w:type="dxa"/>
            <w:tcBorders>
              <w:top w:val="nil"/>
              <w:left w:val="nil"/>
              <w:bottom w:val="single" w:color="auto" w:sz="4" w:space="0"/>
              <w:right w:val="single" w:color="auto" w:sz="4" w:space="0"/>
            </w:tcBorders>
            <w:shd w:val="clear" w:color="auto" w:fill="auto"/>
            <w:vAlign w:val="center"/>
          </w:tcPr>
          <w:p w14:paraId="3DC4DAF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100</w:t>
            </w:r>
          </w:p>
        </w:tc>
        <w:tc>
          <w:tcPr>
            <w:tcW w:w="658" w:type="dxa"/>
            <w:tcBorders>
              <w:top w:val="nil"/>
              <w:left w:val="nil"/>
              <w:bottom w:val="single" w:color="auto" w:sz="4" w:space="0"/>
              <w:right w:val="single" w:color="auto" w:sz="4" w:space="0"/>
            </w:tcBorders>
            <w:shd w:val="clear" w:color="auto" w:fill="auto"/>
            <w:vAlign w:val="center"/>
          </w:tcPr>
          <w:p w14:paraId="3296AB7A">
            <w:pPr>
              <w:widowControl/>
              <w:spacing w:line="240" w:lineRule="exact"/>
              <w:jc w:val="center"/>
              <w:rPr>
                <w:rFonts w:hint="eastAsia" w:ascii="仿宋_GB2312" w:hAnsi="仿宋_GB2312" w:eastAsia="仿宋_GB2312" w:cs="仿宋_GB2312"/>
                <w:color w:val="auto"/>
                <w:kern w:val="0"/>
                <w:sz w:val="20"/>
                <w:szCs w:val="20"/>
              </w:rPr>
            </w:pPr>
          </w:p>
        </w:tc>
      </w:tr>
      <w:tr w14:paraId="01D80692">
        <w:tblPrEx>
          <w:tblCellMar>
            <w:top w:w="0" w:type="dxa"/>
            <w:left w:w="51" w:type="dxa"/>
            <w:bottom w:w="0" w:type="dxa"/>
            <w:right w:w="51" w:type="dxa"/>
          </w:tblCellMar>
        </w:tblPrEx>
        <w:trPr>
          <w:trHeight w:val="648"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3FBECC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1-4-7</w:t>
            </w:r>
          </w:p>
        </w:tc>
        <w:tc>
          <w:tcPr>
            <w:tcW w:w="2069" w:type="dxa"/>
            <w:tcBorders>
              <w:top w:val="nil"/>
              <w:left w:val="nil"/>
              <w:bottom w:val="single" w:color="auto" w:sz="4" w:space="0"/>
              <w:right w:val="single" w:color="auto" w:sz="4" w:space="0"/>
            </w:tcBorders>
            <w:shd w:val="clear" w:color="auto" w:fill="auto"/>
            <w:vAlign w:val="center"/>
          </w:tcPr>
          <w:p w14:paraId="614947D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八宿县弄利措水库吉达配套灌区工程</w:t>
            </w:r>
          </w:p>
        </w:tc>
        <w:tc>
          <w:tcPr>
            <w:tcW w:w="932" w:type="dxa"/>
            <w:tcBorders>
              <w:top w:val="nil"/>
              <w:left w:val="nil"/>
              <w:bottom w:val="single" w:color="auto" w:sz="4" w:space="0"/>
              <w:right w:val="single" w:color="auto" w:sz="4" w:space="0"/>
            </w:tcBorders>
            <w:shd w:val="clear" w:color="auto" w:fill="auto"/>
            <w:vAlign w:val="center"/>
          </w:tcPr>
          <w:p w14:paraId="3D2907C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6479713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7D2467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可研待审</w:t>
            </w:r>
          </w:p>
        </w:tc>
        <w:tc>
          <w:tcPr>
            <w:tcW w:w="3116" w:type="dxa"/>
            <w:tcBorders>
              <w:top w:val="nil"/>
              <w:left w:val="nil"/>
              <w:bottom w:val="single" w:color="auto" w:sz="4" w:space="0"/>
              <w:right w:val="single" w:color="auto" w:sz="4" w:space="0"/>
            </w:tcBorders>
            <w:shd w:val="clear" w:color="auto" w:fill="auto"/>
            <w:vAlign w:val="center"/>
          </w:tcPr>
          <w:p w14:paraId="4534A689">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新建取水枢纽2处，新建供水管道63.6公里。灌溉面积3万亩。</w:t>
            </w:r>
          </w:p>
        </w:tc>
        <w:tc>
          <w:tcPr>
            <w:tcW w:w="932" w:type="dxa"/>
            <w:tcBorders>
              <w:top w:val="nil"/>
              <w:left w:val="nil"/>
              <w:bottom w:val="single" w:color="auto" w:sz="4" w:space="0"/>
              <w:right w:val="single" w:color="auto" w:sz="4" w:space="0"/>
            </w:tcBorders>
            <w:shd w:val="clear" w:color="auto" w:fill="auto"/>
            <w:vAlign w:val="center"/>
          </w:tcPr>
          <w:p w14:paraId="3C96786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6771029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75EC3AE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5235804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37300</w:t>
            </w:r>
          </w:p>
        </w:tc>
        <w:tc>
          <w:tcPr>
            <w:tcW w:w="1196" w:type="dxa"/>
            <w:tcBorders>
              <w:top w:val="nil"/>
              <w:left w:val="nil"/>
              <w:bottom w:val="single" w:color="auto" w:sz="4" w:space="0"/>
              <w:right w:val="single" w:color="auto" w:sz="4" w:space="0"/>
            </w:tcBorders>
            <w:shd w:val="clear" w:color="auto" w:fill="auto"/>
            <w:vAlign w:val="center"/>
          </w:tcPr>
          <w:p w14:paraId="09900C2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100</w:t>
            </w:r>
          </w:p>
        </w:tc>
        <w:tc>
          <w:tcPr>
            <w:tcW w:w="658" w:type="dxa"/>
            <w:tcBorders>
              <w:top w:val="nil"/>
              <w:left w:val="nil"/>
              <w:bottom w:val="single" w:color="auto" w:sz="4" w:space="0"/>
              <w:right w:val="single" w:color="auto" w:sz="4" w:space="0"/>
            </w:tcBorders>
            <w:shd w:val="clear" w:color="auto" w:fill="auto"/>
            <w:vAlign w:val="center"/>
          </w:tcPr>
          <w:p w14:paraId="4ED59DF4">
            <w:pPr>
              <w:widowControl/>
              <w:spacing w:line="240" w:lineRule="exact"/>
              <w:jc w:val="center"/>
              <w:rPr>
                <w:rFonts w:hint="eastAsia" w:ascii="仿宋_GB2312" w:hAnsi="仿宋_GB2312" w:eastAsia="仿宋_GB2312" w:cs="仿宋_GB2312"/>
                <w:color w:val="auto"/>
                <w:kern w:val="0"/>
                <w:sz w:val="20"/>
                <w:szCs w:val="20"/>
              </w:rPr>
            </w:pPr>
          </w:p>
        </w:tc>
      </w:tr>
      <w:tr w14:paraId="6D1D95E7">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653F2D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1-4-8</w:t>
            </w:r>
          </w:p>
        </w:tc>
        <w:tc>
          <w:tcPr>
            <w:tcW w:w="2069" w:type="dxa"/>
            <w:tcBorders>
              <w:top w:val="nil"/>
              <w:left w:val="nil"/>
              <w:bottom w:val="single" w:color="auto" w:sz="4" w:space="0"/>
              <w:right w:val="single" w:color="auto" w:sz="4" w:space="0"/>
            </w:tcBorders>
            <w:shd w:val="clear" w:color="auto" w:fill="auto"/>
            <w:vAlign w:val="center"/>
          </w:tcPr>
          <w:p w14:paraId="610281A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芒康县扎仓嘎水库嘎托配套灌区工程</w:t>
            </w:r>
          </w:p>
        </w:tc>
        <w:tc>
          <w:tcPr>
            <w:tcW w:w="932" w:type="dxa"/>
            <w:tcBorders>
              <w:top w:val="nil"/>
              <w:left w:val="nil"/>
              <w:bottom w:val="single" w:color="auto" w:sz="4" w:space="0"/>
              <w:right w:val="single" w:color="auto" w:sz="4" w:space="0"/>
            </w:tcBorders>
            <w:shd w:val="clear" w:color="auto" w:fill="auto"/>
            <w:vAlign w:val="center"/>
          </w:tcPr>
          <w:p w14:paraId="3EA42A5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w:t>
            </w:r>
          </w:p>
        </w:tc>
        <w:tc>
          <w:tcPr>
            <w:tcW w:w="732" w:type="dxa"/>
            <w:tcBorders>
              <w:top w:val="nil"/>
              <w:left w:val="nil"/>
              <w:bottom w:val="single" w:color="auto" w:sz="4" w:space="0"/>
              <w:right w:val="single" w:color="auto" w:sz="4" w:space="0"/>
            </w:tcBorders>
            <w:shd w:val="clear" w:color="auto" w:fill="auto"/>
            <w:vAlign w:val="center"/>
          </w:tcPr>
          <w:p w14:paraId="0BD5A88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7CDC9D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可研已审，初设在编</w:t>
            </w:r>
          </w:p>
        </w:tc>
        <w:tc>
          <w:tcPr>
            <w:tcW w:w="3116" w:type="dxa"/>
            <w:tcBorders>
              <w:top w:val="nil"/>
              <w:left w:val="nil"/>
              <w:bottom w:val="single" w:color="auto" w:sz="4" w:space="0"/>
              <w:right w:val="single" w:color="auto" w:sz="4" w:space="0"/>
            </w:tcBorders>
            <w:shd w:val="clear" w:color="auto" w:fill="auto"/>
            <w:vAlign w:val="center"/>
          </w:tcPr>
          <w:p w14:paraId="1BCF17E3">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新建渠道总长65公里，设计灌溉面积6万亩</w:t>
            </w:r>
          </w:p>
        </w:tc>
        <w:tc>
          <w:tcPr>
            <w:tcW w:w="932" w:type="dxa"/>
            <w:tcBorders>
              <w:top w:val="nil"/>
              <w:left w:val="nil"/>
              <w:bottom w:val="single" w:color="auto" w:sz="4" w:space="0"/>
              <w:right w:val="single" w:color="auto" w:sz="4" w:space="0"/>
            </w:tcBorders>
            <w:shd w:val="clear" w:color="auto" w:fill="auto"/>
            <w:vAlign w:val="center"/>
          </w:tcPr>
          <w:p w14:paraId="023FA87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946" w:type="dxa"/>
            <w:tcBorders>
              <w:top w:val="nil"/>
              <w:left w:val="nil"/>
              <w:bottom w:val="single" w:color="auto" w:sz="4" w:space="0"/>
              <w:right w:val="single" w:color="auto" w:sz="4" w:space="0"/>
            </w:tcBorders>
            <w:shd w:val="clear" w:color="auto" w:fill="auto"/>
            <w:vAlign w:val="center"/>
          </w:tcPr>
          <w:p w14:paraId="63CE4D9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2027</w:t>
            </w:r>
          </w:p>
        </w:tc>
        <w:tc>
          <w:tcPr>
            <w:tcW w:w="1043" w:type="dxa"/>
            <w:tcBorders>
              <w:top w:val="nil"/>
              <w:left w:val="nil"/>
              <w:bottom w:val="single" w:color="auto" w:sz="4" w:space="0"/>
              <w:right w:val="single" w:color="auto" w:sz="4" w:space="0"/>
            </w:tcBorders>
            <w:shd w:val="clear" w:color="auto" w:fill="auto"/>
            <w:vAlign w:val="center"/>
          </w:tcPr>
          <w:p w14:paraId="4671C62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38AF17F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10500</w:t>
            </w:r>
          </w:p>
        </w:tc>
        <w:tc>
          <w:tcPr>
            <w:tcW w:w="1196" w:type="dxa"/>
            <w:tcBorders>
              <w:top w:val="nil"/>
              <w:left w:val="nil"/>
              <w:bottom w:val="single" w:color="auto" w:sz="4" w:space="0"/>
              <w:right w:val="single" w:color="auto" w:sz="4" w:space="0"/>
            </w:tcBorders>
            <w:shd w:val="clear" w:color="auto" w:fill="auto"/>
            <w:vAlign w:val="center"/>
          </w:tcPr>
          <w:p w14:paraId="727B8FE0">
            <w:pPr>
              <w:widowControl/>
              <w:spacing w:line="240" w:lineRule="exact"/>
              <w:jc w:val="center"/>
              <w:rPr>
                <w:rFonts w:hint="eastAsia" w:ascii="仿宋_GB2312" w:hAnsi="仿宋_GB2312" w:eastAsia="仿宋_GB2312" w:cs="仿宋_GB2312"/>
                <w:color w:val="auto"/>
                <w:kern w:val="0"/>
                <w:sz w:val="20"/>
                <w:szCs w:val="20"/>
              </w:rPr>
            </w:pPr>
          </w:p>
        </w:tc>
        <w:tc>
          <w:tcPr>
            <w:tcW w:w="658" w:type="dxa"/>
            <w:tcBorders>
              <w:top w:val="nil"/>
              <w:left w:val="nil"/>
              <w:bottom w:val="single" w:color="auto" w:sz="4" w:space="0"/>
              <w:right w:val="single" w:color="auto" w:sz="4" w:space="0"/>
            </w:tcBorders>
            <w:shd w:val="clear" w:color="auto" w:fill="auto"/>
            <w:vAlign w:val="center"/>
          </w:tcPr>
          <w:p w14:paraId="69CEB48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积极争取投资</w:t>
            </w:r>
          </w:p>
        </w:tc>
      </w:tr>
      <w:tr w14:paraId="05BBF9EB">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7A3D824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1-4-9</w:t>
            </w:r>
          </w:p>
        </w:tc>
        <w:tc>
          <w:tcPr>
            <w:tcW w:w="2069" w:type="dxa"/>
            <w:tcBorders>
              <w:top w:val="nil"/>
              <w:left w:val="nil"/>
              <w:bottom w:val="single" w:color="auto" w:sz="4" w:space="0"/>
              <w:right w:val="single" w:color="auto" w:sz="4" w:space="0"/>
            </w:tcBorders>
            <w:shd w:val="clear" w:color="auto" w:fill="auto"/>
            <w:vAlign w:val="center"/>
          </w:tcPr>
          <w:p w14:paraId="19EC92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八宿县弄利措水库白玛拉根配套灌区工程</w:t>
            </w:r>
          </w:p>
        </w:tc>
        <w:tc>
          <w:tcPr>
            <w:tcW w:w="932" w:type="dxa"/>
            <w:tcBorders>
              <w:top w:val="nil"/>
              <w:left w:val="nil"/>
              <w:bottom w:val="single" w:color="auto" w:sz="4" w:space="0"/>
              <w:right w:val="single" w:color="auto" w:sz="4" w:space="0"/>
            </w:tcBorders>
            <w:shd w:val="clear" w:color="auto" w:fill="auto"/>
            <w:vAlign w:val="center"/>
          </w:tcPr>
          <w:p w14:paraId="201238B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7DED841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1BF09D0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可研已审，初设在编</w:t>
            </w:r>
          </w:p>
        </w:tc>
        <w:tc>
          <w:tcPr>
            <w:tcW w:w="3116" w:type="dxa"/>
            <w:tcBorders>
              <w:top w:val="nil"/>
              <w:left w:val="nil"/>
              <w:bottom w:val="single" w:color="auto" w:sz="4" w:space="0"/>
              <w:right w:val="single" w:color="auto" w:sz="4" w:space="0"/>
            </w:tcBorders>
            <w:shd w:val="clear" w:color="auto" w:fill="auto"/>
            <w:vAlign w:val="center"/>
          </w:tcPr>
          <w:p w14:paraId="61F561D3">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新建引水枢纽1座，干管1条总长为39</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，支管11条10公里，总灌溉面积为4.03万亩</w:t>
            </w:r>
          </w:p>
        </w:tc>
        <w:tc>
          <w:tcPr>
            <w:tcW w:w="932" w:type="dxa"/>
            <w:tcBorders>
              <w:top w:val="nil"/>
              <w:left w:val="nil"/>
              <w:bottom w:val="single" w:color="auto" w:sz="4" w:space="0"/>
              <w:right w:val="single" w:color="auto" w:sz="4" w:space="0"/>
            </w:tcBorders>
            <w:shd w:val="clear" w:color="auto" w:fill="auto"/>
            <w:vAlign w:val="center"/>
          </w:tcPr>
          <w:p w14:paraId="767D55B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946" w:type="dxa"/>
            <w:tcBorders>
              <w:top w:val="nil"/>
              <w:left w:val="nil"/>
              <w:bottom w:val="single" w:color="auto" w:sz="4" w:space="0"/>
              <w:right w:val="single" w:color="auto" w:sz="4" w:space="0"/>
            </w:tcBorders>
            <w:shd w:val="clear" w:color="auto" w:fill="auto"/>
            <w:vAlign w:val="center"/>
          </w:tcPr>
          <w:p w14:paraId="7CB3DD7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0F2CE0F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7984617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47520</w:t>
            </w:r>
          </w:p>
        </w:tc>
        <w:tc>
          <w:tcPr>
            <w:tcW w:w="1196" w:type="dxa"/>
            <w:tcBorders>
              <w:top w:val="nil"/>
              <w:left w:val="nil"/>
              <w:bottom w:val="single" w:color="auto" w:sz="4" w:space="0"/>
              <w:right w:val="single" w:color="auto" w:sz="4" w:space="0"/>
            </w:tcBorders>
            <w:shd w:val="clear" w:color="auto" w:fill="auto"/>
            <w:vAlign w:val="center"/>
          </w:tcPr>
          <w:p w14:paraId="3D6AA759">
            <w:pPr>
              <w:widowControl/>
              <w:spacing w:line="240" w:lineRule="exact"/>
              <w:jc w:val="center"/>
              <w:rPr>
                <w:rFonts w:hint="eastAsia" w:ascii="仿宋_GB2312" w:hAnsi="仿宋_GB2312" w:eastAsia="仿宋_GB2312" w:cs="仿宋_GB2312"/>
                <w:color w:val="auto"/>
                <w:kern w:val="0"/>
                <w:sz w:val="20"/>
                <w:szCs w:val="20"/>
              </w:rPr>
            </w:pPr>
          </w:p>
        </w:tc>
        <w:tc>
          <w:tcPr>
            <w:tcW w:w="658" w:type="dxa"/>
            <w:tcBorders>
              <w:top w:val="nil"/>
              <w:left w:val="nil"/>
              <w:bottom w:val="single" w:color="auto" w:sz="4" w:space="0"/>
              <w:right w:val="single" w:color="auto" w:sz="4" w:space="0"/>
            </w:tcBorders>
            <w:shd w:val="clear" w:color="auto" w:fill="auto"/>
            <w:vAlign w:val="center"/>
          </w:tcPr>
          <w:p w14:paraId="0DC90CC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积极争取投资</w:t>
            </w:r>
          </w:p>
        </w:tc>
      </w:tr>
      <w:tr w14:paraId="28CF6A5F">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2D0CA4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1-5</w:t>
            </w:r>
          </w:p>
        </w:tc>
        <w:tc>
          <w:tcPr>
            <w:tcW w:w="2069" w:type="dxa"/>
            <w:tcBorders>
              <w:top w:val="nil"/>
              <w:left w:val="nil"/>
              <w:bottom w:val="single" w:color="auto" w:sz="4" w:space="0"/>
              <w:right w:val="single" w:color="auto" w:sz="4" w:space="0"/>
            </w:tcBorders>
            <w:shd w:val="clear" w:color="auto" w:fill="auto"/>
            <w:vAlign w:val="center"/>
          </w:tcPr>
          <w:p w14:paraId="13DE230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草场灌溉工程</w:t>
            </w:r>
          </w:p>
        </w:tc>
        <w:tc>
          <w:tcPr>
            <w:tcW w:w="932" w:type="dxa"/>
            <w:tcBorders>
              <w:top w:val="nil"/>
              <w:left w:val="nil"/>
              <w:bottom w:val="single" w:color="auto" w:sz="4" w:space="0"/>
              <w:right w:val="single" w:color="auto" w:sz="4" w:space="0"/>
            </w:tcBorders>
            <w:shd w:val="clear" w:color="auto" w:fill="auto"/>
            <w:vAlign w:val="center"/>
          </w:tcPr>
          <w:p w14:paraId="59161509">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4</w:t>
            </w:r>
          </w:p>
        </w:tc>
        <w:tc>
          <w:tcPr>
            <w:tcW w:w="732" w:type="dxa"/>
            <w:tcBorders>
              <w:top w:val="nil"/>
              <w:left w:val="nil"/>
              <w:bottom w:val="single" w:color="auto" w:sz="4" w:space="0"/>
              <w:right w:val="single" w:color="auto" w:sz="4" w:space="0"/>
            </w:tcBorders>
            <w:shd w:val="clear" w:color="auto" w:fill="auto"/>
            <w:vAlign w:val="center"/>
          </w:tcPr>
          <w:p w14:paraId="2DDA1C23">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77C40F54">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1A3C7242">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15C2DC4E">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366D0692">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6FACEBCA">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22389C2B">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3460</w:t>
            </w:r>
          </w:p>
        </w:tc>
        <w:tc>
          <w:tcPr>
            <w:tcW w:w="1196" w:type="dxa"/>
            <w:tcBorders>
              <w:top w:val="nil"/>
              <w:left w:val="nil"/>
              <w:bottom w:val="single" w:color="auto" w:sz="4" w:space="0"/>
              <w:right w:val="single" w:color="auto" w:sz="4" w:space="0"/>
            </w:tcBorders>
            <w:shd w:val="clear" w:color="auto" w:fill="auto"/>
            <w:vAlign w:val="center"/>
          </w:tcPr>
          <w:p w14:paraId="79E4913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1730</w:t>
            </w:r>
          </w:p>
        </w:tc>
        <w:tc>
          <w:tcPr>
            <w:tcW w:w="658" w:type="dxa"/>
            <w:tcBorders>
              <w:top w:val="nil"/>
              <w:left w:val="nil"/>
              <w:bottom w:val="single" w:color="auto" w:sz="4" w:space="0"/>
              <w:right w:val="single" w:color="auto" w:sz="4" w:space="0"/>
            </w:tcBorders>
            <w:shd w:val="clear" w:color="auto" w:fill="auto"/>
            <w:vAlign w:val="center"/>
          </w:tcPr>
          <w:p w14:paraId="4C98C71C">
            <w:pPr>
              <w:widowControl/>
              <w:spacing w:line="240" w:lineRule="exact"/>
              <w:jc w:val="center"/>
              <w:rPr>
                <w:rFonts w:hint="eastAsia" w:ascii="仿宋_GB2312" w:hAnsi="仿宋_GB2312" w:eastAsia="仿宋_GB2312" w:cs="仿宋_GB2312"/>
                <w:b/>
                <w:bCs/>
                <w:color w:val="auto"/>
                <w:kern w:val="0"/>
                <w:sz w:val="20"/>
                <w:szCs w:val="20"/>
              </w:rPr>
            </w:pPr>
          </w:p>
        </w:tc>
      </w:tr>
      <w:tr w14:paraId="47301E38">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BC3D8A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1-5-1</w:t>
            </w:r>
          </w:p>
        </w:tc>
        <w:tc>
          <w:tcPr>
            <w:tcW w:w="2069" w:type="dxa"/>
            <w:tcBorders>
              <w:top w:val="nil"/>
              <w:left w:val="nil"/>
              <w:bottom w:val="single" w:color="auto" w:sz="4" w:space="0"/>
              <w:right w:val="single" w:color="auto" w:sz="4" w:space="0"/>
            </w:tcBorders>
            <w:shd w:val="clear" w:color="auto" w:fill="auto"/>
            <w:vAlign w:val="center"/>
          </w:tcPr>
          <w:p w14:paraId="7C3505F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贡觉县哈加乡巴拉饲草料地灌溉工程</w:t>
            </w:r>
          </w:p>
        </w:tc>
        <w:tc>
          <w:tcPr>
            <w:tcW w:w="932" w:type="dxa"/>
            <w:tcBorders>
              <w:top w:val="nil"/>
              <w:left w:val="nil"/>
              <w:bottom w:val="single" w:color="auto" w:sz="4" w:space="0"/>
              <w:right w:val="single" w:color="auto" w:sz="4" w:space="0"/>
            </w:tcBorders>
            <w:shd w:val="clear" w:color="auto" w:fill="auto"/>
            <w:vAlign w:val="center"/>
          </w:tcPr>
          <w:p w14:paraId="27F37A4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w:t>
            </w:r>
          </w:p>
        </w:tc>
        <w:tc>
          <w:tcPr>
            <w:tcW w:w="732" w:type="dxa"/>
            <w:tcBorders>
              <w:top w:val="nil"/>
              <w:left w:val="nil"/>
              <w:bottom w:val="single" w:color="auto" w:sz="4" w:space="0"/>
              <w:right w:val="single" w:color="auto" w:sz="4" w:space="0"/>
            </w:tcBorders>
            <w:shd w:val="clear" w:color="auto" w:fill="auto"/>
            <w:vAlign w:val="center"/>
          </w:tcPr>
          <w:p w14:paraId="37060C1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AD538E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初设在编</w:t>
            </w:r>
          </w:p>
        </w:tc>
        <w:tc>
          <w:tcPr>
            <w:tcW w:w="3116" w:type="dxa"/>
            <w:tcBorders>
              <w:top w:val="nil"/>
              <w:left w:val="nil"/>
              <w:bottom w:val="single" w:color="auto" w:sz="4" w:space="0"/>
              <w:right w:val="single" w:color="auto" w:sz="4" w:space="0"/>
            </w:tcBorders>
            <w:shd w:val="clear" w:color="auto" w:fill="auto"/>
            <w:vAlign w:val="center"/>
          </w:tcPr>
          <w:p w14:paraId="19D72677">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新建管道总长9公里</w:t>
            </w:r>
            <w:r>
              <w:rPr>
                <w:rFonts w:hint="eastAsia" w:ascii="仿宋_GB2312" w:hAnsi="仿宋_GB2312" w:eastAsia="仿宋_GB2312" w:cs="仿宋_GB2312"/>
                <w:color w:val="auto"/>
                <w:kern w:val="0"/>
                <w:sz w:val="20"/>
                <w:szCs w:val="20"/>
                <w:highlight w:val="none"/>
                <w:lang w:eastAsia="zh-CN"/>
              </w:rPr>
              <w:t>，</w:t>
            </w:r>
            <w:r>
              <w:rPr>
                <w:rFonts w:hint="eastAsia" w:ascii="仿宋_GB2312" w:hAnsi="仿宋_GB2312" w:eastAsia="仿宋_GB2312" w:cs="仿宋_GB2312"/>
                <w:color w:val="auto"/>
                <w:kern w:val="0"/>
                <w:sz w:val="20"/>
                <w:szCs w:val="20"/>
              </w:rPr>
              <w:t>总饲草料基地灌溉面积0.42万亩，其中新增0.42万亩。</w:t>
            </w:r>
          </w:p>
        </w:tc>
        <w:tc>
          <w:tcPr>
            <w:tcW w:w="932" w:type="dxa"/>
            <w:tcBorders>
              <w:top w:val="nil"/>
              <w:left w:val="nil"/>
              <w:bottom w:val="single" w:color="auto" w:sz="4" w:space="0"/>
              <w:right w:val="single" w:color="auto" w:sz="4" w:space="0"/>
            </w:tcBorders>
            <w:shd w:val="clear" w:color="auto" w:fill="auto"/>
            <w:vAlign w:val="center"/>
          </w:tcPr>
          <w:p w14:paraId="6E2BD20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596E559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0B1BAAA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0F6C283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900</w:t>
            </w:r>
          </w:p>
        </w:tc>
        <w:tc>
          <w:tcPr>
            <w:tcW w:w="1196" w:type="dxa"/>
            <w:tcBorders>
              <w:top w:val="nil"/>
              <w:left w:val="nil"/>
              <w:bottom w:val="single" w:color="auto" w:sz="4" w:space="0"/>
              <w:right w:val="single" w:color="auto" w:sz="4" w:space="0"/>
            </w:tcBorders>
            <w:shd w:val="clear" w:color="auto" w:fill="auto"/>
            <w:vAlign w:val="center"/>
          </w:tcPr>
          <w:p w14:paraId="1298980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450</w:t>
            </w:r>
          </w:p>
        </w:tc>
        <w:tc>
          <w:tcPr>
            <w:tcW w:w="658" w:type="dxa"/>
            <w:tcBorders>
              <w:top w:val="nil"/>
              <w:left w:val="nil"/>
              <w:bottom w:val="single" w:color="auto" w:sz="4" w:space="0"/>
              <w:right w:val="single" w:color="auto" w:sz="4" w:space="0"/>
            </w:tcBorders>
            <w:shd w:val="clear" w:color="auto" w:fill="auto"/>
            <w:vAlign w:val="center"/>
          </w:tcPr>
          <w:p w14:paraId="5CB2480D">
            <w:pPr>
              <w:widowControl/>
              <w:spacing w:line="240" w:lineRule="exact"/>
              <w:jc w:val="center"/>
              <w:rPr>
                <w:rFonts w:hint="eastAsia" w:ascii="仿宋_GB2312" w:hAnsi="仿宋_GB2312" w:eastAsia="仿宋_GB2312" w:cs="仿宋_GB2312"/>
                <w:color w:val="auto"/>
                <w:kern w:val="0"/>
                <w:sz w:val="20"/>
                <w:szCs w:val="20"/>
              </w:rPr>
            </w:pPr>
          </w:p>
        </w:tc>
      </w:tr>
      <w:tr w14:paraId="7E6E5853">
        <w:tblPrEx>
          <w:tblCellMar>
            <w:top w:w="0" w:type="dxa"/>
            <w:left w:w="51" w:type="dxa"/>
            <w:bottom w:w="0" w:type="dxa"/>
            <w:right w:w="51" w:type="dxa"/>
          </w:tblCellMar>
        </w:tblPrEx>
        <w:trPr>
          <w:trHeight w:val="9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71A973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1-5-2</w:t>
            </w:r>
          </w:p>
        </w:tc>
        <w:tc>
          <w:tcPr>
            <w:tcW w:w="2069" w:type="dxa"/>
            <w:tcBorders>
              <w:top w:val="nil"/>
              <w:left w:val="nil"/>
              <w:bottom w:val="single" w:color="auto" w:sz="4" w:space="0"/>
              <w:right w:val="single" w:color="auto" w:sz="4" w:space="0"/>
            </w:tcBorders>
            <w:shd w:val="clear" w:color="auto" w:fill="auto"/>
            <w:vAlign w:val="center"/>
          </w:tcPr>
          <w:p w14:paraId="0AA13C6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芒康县昂多乡饲草料基地灌溉工程</w:t>
            </w:r>
          </w:p>
        </w:tc>
        <w:tc>
          <w:tcPr>
            <w:tcW w:w="932" w:type="dxa"/>
            <w:tcBorders>
              <w:top w:val="nil"/>
              <w:left w:val="nil"/>
              <w:bottom w:val="single" w:color="auto" w:sz="4" w:space="0"/>
              <w:right w:val="single" w:color="auto" w:sz="4" w:space="0"/>
            </w:tcBorders>
            <w:shd w:val="clear" w:color="auto" w:fill="auto"/>
            <w:vAlign w:val="center"/>
          </w:tcPr>
          <w:p w14:paraId="56A1BE8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w:t>
            </w:r>
          </w:p>
        </w:tc>
        <w:tc>
          <w:tcPr>
            <w:tcW w:w="732" w:type="dxa"/>
            <w:tcBorders>
              <w:top w:val="nil"/>
              <w:left w:val="nil"/>
              <w:bottom w:val="single" w:color="auto" w:sz="4" w:space="0"/>
              <w:right w:val="single" w:color="auto" w:sz="4" w:space="0"/>
            </w:tcBorders>
            <w:shd w:val="clear" w:color="auto" w:fill="auto"/>
            <w:vAlign w:val="center"/>
          </w:tcPr>
          <w:p w14:paraId="3329600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4A4C126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初设在编</w:t>
            </w:r>
          </w:p>
        </w:tc>
        <w:tc>
          <w:tcPr>
            <w:tcW w:w="3116" w:type="dxa"/>
            <w:tcBorders>
              <w:top w:val="nil"/>
              <w:left w:val="nil"/>
              <w:bottom w:val="single" w:color="auto" w:sz="4" w:space="0"/>
              <w:right w:val="single" w:color="auto" w:sz="4" w:space="0"/>
            </w:tcBorders>
            <w:shd w:val="clear" w:color="auto" w:fill="auto"/>
            <w:vAlign w:val="center"/>
          </w:tcPr>
          <w:p w14:paraId="0031F9F5">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新建取水枢纽1处，干支渠全长8.2公里，设计灌溉面积0.25万亩，其中新增0.25万亩。</w:t>
            </w:r>
          </w:p>
        </w:tc>
        <w:tc>
          <w:tcPr>
            <w:tcW w:w="932" w:type="dxa"/>
            <w:tcBorders>
              <w:top w:val="nil"/>
              <w:left w:val="nil"/>
              <w:bottom w:val="single" w:color="auto" w:sz="4" w:space="0"/>
              <w:right w:val="single" w:color="auto" w:sz="4" w:space="0"/>
            </w:tcBorders>
            <w:shd w:val="clear" w:color="auto" w:fill="auto"/>
            <w:vAlign w:val="center"/>
          </w:tcPr>
          <w:p w14:paraId="3792DE6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7D14153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6F14846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5C2D3DC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890</w:t>
            </w:r>
          </w:p>
        </w:tc>
        <w:tc>
          <w:tcPr>
            <w:tcW w:w="1196" w:type="dxa"/>
            <w:tcBorders>
              <w:top w:val="nil"/>
              <w:left w:val="nil"/>
              <w:bottom w:val="single" w:color="auto" w:sz="4" w:space="0"/>
              <w:right w:val="single" w:color="auto" w:sz="4" w:space="0"/>
            </w:tcBorders>
            <w:shd w:val="clear" w:color="auto" w:fill="auto"/>
            <w:vAlign w:val="center"/>
          </w:tcPr>
          <w:p w14:paraId="47B8843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445</w:t>
            </w:r>
          </w:p>
        </w:tc>
        <w:tc>
          <w:tcPr>
            <w:tcW w:w="658" w:type="dxa"/>
            <w:tcBorders>
              <w:top w:val="nil"/>
              <w:left w:val="nil"/>
              <w:bottom w:val="single" w:color="auto" w:sz="4" w:space="0"/>
              <w:right w:val="single" w:color="auto" w:sz="4" w:space="0"/>
            </w:tcBorders>
            <w:shd w:val="clear" w:color="auto" w:fill="auto"/>
            <w:vAlign w:val="center"/>
          </w:tcPr>
          <w:p w14:paraId="56E73872">
            <w:pPr>
              <w:widowControl/>
              <w:spacing w:line="240" w:lineRule="exact"/>
              <w:jc w:val="center"/>
              <w:rPr>
                <w:rFonts w:hint="eastAsia" w:ascii="仿宋_GB2312" w:hAnsi="仿宋_GB2312" w:eastAsia="仿宋_GB2312" w:cs="仿宋_GB2312"/>
                <w:color w:val="auto"/>
                <w:kern w:val="0"/>
                <w:sz w:val="20"/>
                <w:szCs w:val="20"/>
              </w:rPr>
            </w:pPr>
          </w:p>
        </w:tc>
      </w:tr>
      <w:tr w14:paraId="1605A944">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3F6C9E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1-5-3</w:t>
            </w:r>
          </w:p>
        </w:tc>
        <w:tc>
          <w:tcPr>
            <w:tcW w:w="2069" w:type="dxa"/>
            <w:tcBorders>
              <w:top w:val="nil"/>
              <w:left w:val="nil"/>
              <w:bottom w:val="single" w:color="auto" w:sz="4" w:space="0"/>
              <w:right w:val="single" w:color="auto" w:sz="4" w:space="0"/>
            </w:tcBorders>
            <w:shd w:val="clear" w:color="auto" w:fill="auto"/>
            <w:vAlign w:val="center"/>
          </w:tcPr>
          <w:p w14:paraId="7AB4434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边坝县拉孜乡森卡饲草地灌溉工程</w:t>
            </w:r>
          </w:p>
        </w:tc>
        <w:tc>
          <w:tcPr>
            <w:tcW w:w="932" w:type="dxa"/>
            <w:tcBorders>
              <w:top w:val="nil"/>
              <w:left w:val="nil"/>
              <w:bottom w:val="single" w:color="auto" w:sz="4" w:space="0"/>
              <w:right w:val="single" w:color="auto" w:sz="4" w:space="0"/>
            </w:tcBorders>
            <w:shd w:val="clear" w:color="auto" w:fill="auto"/>
            <w:vAlign w:val="center"/>
          </w:tcPr>
          <w:p w14:paraId="0D67E97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w:t>
            </w:r>
          </w:p>
        </w:tc>
        <w:tc>
          <w:tcPr>
            <w:tcW w:w="732" w:type="dxa"/>
            <w:tcBorders>
              <w:top w:val="nil"/>
              <w:left w:val="nil"/>
              <w:bottom w:val="single" w:color="auto" w:sz="4" w:space="0"/>
              <w:right w:val="single" w:color="auto" w:sz="4" w:space="0"/>
            </w:tcBorders>
            <w:shd w:val="clear" w:color="auto" w:fill="auto"/>
            <w:vAlign w:val="center"/>
          </w:tcPr>
          <w:p w14:paraId="257B188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9CD2D7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38DACF1">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新建渠道7.4公里及配套设施，新增饲草地灌溉面积0.26万亩</w:t>
            </w:r>
          </w:p>
        </w:tc>
        <w:tc>
          <w:tcPr>
            <w:tcW w:w="932" w:type="dxa"/>
            <w:tcBorders>
              <w:top w:val="nil"/>
              <w:left w:val="nil"/>
              <w:bottom w:val="single" w:color="auto" w:sz="4" w:space="0"/>
              <w:right w:val="single" w:color="auto" w:sz="4" w:space="0"/>
            </w:tcBorders>
            <w:shd w:val="clear" w:color="auto" w:fill="auto"/>
            <w:vAlign w:val="center"/>
          </w:tcPr>
          <w:p w14:paraId="2BCA978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6BEF598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04A2FB5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4999A19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750</w:t>
            </w:r>
          </w:p>
        </w:tc>
        <w:tc>
          <w:tcPr>
            <w:tcW w:w="1196" w:type="dxa"/>
            <w:tcBorders>
              <w:top w:val="nil"/>
              <w:left w:val="nil"/>
              <w:bottom w:val="single" w:color="auto" w:sz="4" w:space="0"/>
              <w:right w:val="single" w:color="auto" w:sz="4" w:space="0"/>
            </w:tcBorders>
            <w:shd w:val="clear" w:color="auto" w:fill="auto"/>
            <w:vAlign w:val="center"/>
          </w:tcPr>
          <w:p w14:paraId="0DBFE68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375</w:t>
            </w:r>
          </w:p>
        </w:tc>
        <w:tc>
          <w:tcPr>
            <w:tcW w:w="658" w:type="dxa"/>
            <w:tcBorders>
              <w:top w:val="nil"/>
              <w:left w:val="nil"/>
              <w:bottom w:val="single" w:color="auto" w:sz="4" w:space="0"/>
              <w:right w:val="single" w:color="auto" w:sz="4" w:space="0"/>
            </w:tcBorders>
            <w:shd w:val="clear" w:color="auto" w:fill="auto"/>
            <w:vAlign w:val="center"/>
          </w:tcPr>
          <w:p w14:paraId="33C815A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r>
      <w:tr w14:paraId="03B0F239">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E8A223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1-5-4</w:t>
            </w:r>
          </w:p>
        </w:tc>
        <w:tc>
          <w:tcPr>
            <w:tcW w:w="2069" w:type="dxa"/>
            <w:tcBorders>
              <w:top w:val="nil"/>
              <w:left w:val="nil"/>
              <w:bottom w:val="single" w:color="auto" w:sz="4" w:space="0"/>
              <w:right w:val="single" w:color="auto" w:sz="4" w:space="0"/>
            </w:tcBorders>
            <w:shd w:val="clear" w:color="auto" w:fill="auto"/>
            <w:vAlign w:val="center"/>
          </w:tcPr>
          <w:p w14:paraId="09FB4C2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贡觉县阿旺饲草地灌溉工程</w:t>
            </w:r>
          </w:p>
        </w:tc>
        <w:tc>
          <w:tcPr>
            <w:tcW w:w="932" w:type="dxa"/>
            <w:tcBorders>
              <w:top w:val="nil"/>
              <w:left w:val="nil"/>
              <w:bottom w:val="single" w:color="auto" w:sz="4" w:space="0"/>
              <w:right w:val="single" w:color="auto" w:sz="4" w:space="0"/>
            </w:tcBorders>
            <w:shd w:val="clear" w:color="auto" w:fill="auto"/>
            <w:vAlign w:val="center"/>
          </w:tcPr>
          <w:p w14:paraId="24F3CF8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w:t>
            </w:r>
          </w:p>
        </w:tc>
        <w:tc>
          <w:tcPr>
            <w:tcW w:w="732" w:type="dxa"/>
            <w:tcBorders>
              <w:top w:val="nil"/>
              <w:left w:val="nil"/>
              <w:bottom w:val="single" w:color="auto" w:sz="4" w:space="0"/>
              <w:right w:val="single" w:color="auto" w:sz="4" w:space="0"/>
            </w:tcBorders>
            <w:shd w:val="clear" w:color="auto" w:fill="auto"/>
            <w:vAlign w:val="center"/>
          </w:tcPr>
          <w:p w14:paraId="5AB181A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5277DB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31102C15">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新建渠道总长2.1公里</w:t>
            </w:r>
            <w:r>
              <w:rPr>
                <w:rFonts w:hint="eastAsia" w:ascii="仿宋_GB2312" w:hAnsi="仿宋_GB2312" w:eastAsia="仿宋_GB2312" w:cs="仿宋_GB2312"/>
                <w:color w:val="auto"/>
                <w:kern w:val="0"/>
                <w:sz w:val="20"/>
                <w:szCs w:val="20"/>
                <w:highlight w:val="none"/>
                <w:lang w:eastAsia="zh-CN"/>
              </w:rPr>
              <w:t>，</w:t>
            </w:r>
            <w:r>
              <w:rPr>
                <w:rFonts w:hint="eastAsia" w:ascii="仿宋_GB2312" w:hAnsi="仿宋_GB2312" w:eastAsia="仿宋_GB2312" w:cs="仿宋_GB2312"/>
                <w:color w:val="auto"/>
                <w:kern w:val="0"/>
                <w:sz w:val="20"/>
                <w:szCs w:val="20"/>
              </w:rPr>
              <w:t>总饲草料基地灌溉面积0.31万亩，其中新增0.31万亩。</w:t>
            </w:r>
          </w:p>
        </w:tc>
        <w:tc>
          <w:tcPr>
            <w:tcW w:w="932" w:type="dxa"/>
            <w:tcBorders>
              <w:top w:val="nil"/>
              <w:left w:val="nil"/>
              <w:bottom w:val="single" w:color="auto" w:sz="4" w:space="0"/>
              <w:right w:val="single" w:color="auto" w:sz="4" w:space="0"/>
            </w:tcBorders>
            <w:shd w:val="clear" w:color="auto" w:fill="auto"/>
            <w:vAlign w:val="center"/>
          </w:tcPr>
          <w:p w14:paraId="494BA40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411CCAE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2A6ACE4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00B1CC0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920</w:t>
            </w:r>
          </w:p>
        </w:tc>
        <w:tc>
          <w:tcPr>
            <w:tcW w:w="1196" w:type="dxa"/>
            <w:tcBorders>
              <w:top w:val="nil"/>
              <w:left w:val="nil"/>
              <w:bottom w:val="single" w:color="auto" w:sz="4" w:space="0"/>
              <w:right w:val="single" w:color="auto" w:sz="4" w:space="0"/>
            </w:tcBorders>
            <w:shd w:val="clear" w:color="auto" w:fill="auto"/>
            <w:vAlign w:val="center"/>
          </w:tcPr>
          <w:p w14:paraId="73EB1D2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460</w:t>
            </w:r>
          </w:p>
        </w:tc>
        <w:tc>
          <w:tcPr>
            <w:tcW w:w="658" w:type="dxa"/>
            <w:tcBorders>
              <w:top w:val="nil"/>
              <w:left w:val="nil"/>
              <w:bottom w:val="single" w:color="auto" w:sz="4" w:space="0"/>
              <w:right w:val="single" w:color="auto" w:sz="4" w:space="0"/>
            </w:tcBorders>
            <w:shd w:val="clear" w:color="auto" w:fill="auto"/>
            <w:vAlign w:val="center"/>
          </w:tcPr>
          <w:p w14:paraId="6234FA95">
            <w:pPr>
              <w:widowControl/>
              <w:spacing w:line="240" w:lineRule="exact"/>
              <w:jc w:val="center"/>
              <w:rPr>
                <w:rFonts w:hint="eastAsia" w:ascii="仿宋_GB2312" w:hAnsi="仿宋_GB2312" w:eastAsia="仿宋_GB2312" w:cs="仿宋_GB2312"/>
                <w:color w:val="auto"/>
                <w:kern w:val="0"/>
                <w:sz w:val="20"/>
                <w:szCs w:val="20"/>
              </w:rPr>
            </w:pPr>
          </w:p>
        </w:tc>
      </w:tr>
      <w:tr w14:paraId="2A17B49E">
        <w:tblPrEx>
          <w:tblCellMar>
            <w:top w:w="0" w:type="dxa"/>
            <w:left w:w="51" w:type="dxa"/>
            <w:bottom w:w="0" w:type="dxa"/>
            <w:right w:w="51" w:type="dxa"/>
          </w:tblCellMar>
        </w:tblPrEx>
        <w:trPr>
          <w:trHeight w:val="28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3C8CE2D">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w:t>
            </w:r>
          </w:p>
        </w:tc>
        <w:tc>
          <w:tcPr>
            <w:tcW w:w="9862" w:type="dxa"/>
            <w:gridSpan w:val="7"/>
            <w:tcBorders>
              <w:top w:val="single" w:color="auto" w:sz="4" w:space="0"/>
              <w:left w:val="nil"/>
              <w:bottom w:val="single" w:color="auto" w:sz="4" w:space="0"/>
              <w:right w:val="single" w:color="auto" w:sz="4" w:space="0"/>
            </w:tcBorders>
            <w:shd w:val="clear" w:color="auto" w:fill="auto"/>
            <w:vAlign w:val="center"/>
          </w:tcPr>
          <w:p w14:paraId="39F3C06A">
            <w:pPr>
              <w:widowControl/>
              <w:spacing w:line="240" w:lineRule="exact"/>
              <w:jc w:val="left"/>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防洪提升工程</w:t>
            </w:r>
          </w:p>
        </w:tc>
        <w:tc>
          <w:tcPr>
            <w:tcW w:w="1043" w:type="dxa"/>
            <w:tcBorders>
              <w:top w:val="nil"/>
              <w:left w:val="nil"/>
              <w:bottom w:val="single" w:color="auto" w:sz="4" w:space="0"/>
              <w:right w:val="single" w:color="auto" w:sz="4" w:space="0"/>
            </w:tcBorders>
            <w:shd w:val="clear" w:color="auto" w:fill="auto"/>
            <w:vAlign w:val="center"/>
          </w:tcPr>
          <w:p w14:paraId="58FC05C6">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1340577A">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98630</w:t>
            </w:r>
          </w:p>
        </w:tc>
        <w:tc>
          <w:tcPr>
            <w:tcW w:w="1196" w:type="dxa"/>
            <w:tcBorders>
              <w:top w:val="nil"/>
              <w:left w:val="nil"/>
              <w:bottom w:val="single" w:color="auto" w:sz="4" w:space="0"/>
              <w:right w:val="single" w:color="auto" w:sz="4" w:space="0"/>
            </w:tcBorders>
            <w:shd w:val="clear" w:color="auto" w:fill="auto"/>
            <w:vAlign w:val="center"/>
          </w:tcPr>
          <w:p w14:paraId="76F23215">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94584</w:t>
            </w:r>
          </w:p>
        </w:tc>
        <w:tc>
          <w:tcPr>
            <w:tcW w:w="658" w:type="dxa"/>
            <w:tcBorders>
              <w:top w:val="nil"/>
              <w:left w:val="nil"/>
              <w:bottom w:val="single" w:color="auto" w:sz="4" w:space="0"/>
              <w:right w:val="single" w:color="auto" w:sz="4" w:space="0"/>
            </w:tcBorders>
            <w:shd w:val="clear" w:color="auto" w:fill="auto"/>
            <w:vAlign w:val="center"/>
          </w:tcPr>
          <w:p w14:paraId="112D6097">
            <w:pPr>
              <w:widowControl/>
              <w:spacing w:line="240" w:lineRule="exact"/>
              <w:jc w:val="center"/>
              <w:rPr>
                <w:rFonts w:hint="eastAsia" w:ascii="仿宋_GB2312" w:hAnsi="仿宋_GB2312" w:eastAsia="仿宋_GB2312" w:cs="仿宋_GB2312"/>
                <w:b/>
                <w:bCs/>
                <w:color w:val="auto"/>
                <w:kern w:val="0"/>
                <w:sz w:val="20"/>
                <w:szCs w:val="20"/>
              </w:rPr>
            </w:pPr>
          </w:p>
        </w:tc>
      </w:tr>
      <w:tr w14:paraId="049C18F2">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E1ECCCF">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2-1</w:t>
            </w:r>
          </w:p>
        </w:tc>
        <w:tc>
          <w:tcPr>
            <w:tcW w:w="2069" w:type="dxa"/>
            <w:tcBorders>
              <w:top w:val="nil"/>
              <w:left w:val="nil"/>
              <w:bottom w:val="single" w:color="auto" w:sz="4" w:space="0"/>
              <w:right w:val="single" w:color="auto" w:sz="4" w:space="0"/>
            </w:tcBorders>
            <w:shd w:val="clear" w:color="auto" w:fill="auto"/>
            <w:vAlign w:val="center"/>
          </w:tcPr>
          <w:p w14:paraId="0E636577">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流域面积3000平方公里以上中小河流治理</w:t>
            </w:r>
          </w:p>
        </w:tc>
        <w:tc>
          <w:tcPr>
            <w:tcW w:w="932" w:type="dxa"/>
            <w:tcBorders>
              <w:top w:val="nil"/>
              <w:left w:val="nil"/>
              <w:bottom w:val="single" w:color="auto" w:sz="4" w:space="0"/>
              <w:right w:val="single" w:color="auto" w:sz="4" w:space="0"/>
            </w:tcBorders>
            <w:shd w:val="clear" w:color="auto" w:fill="auto"/>
            <w:vAlign w:val="center"/>
          </w:tcPr>
          <w:p w14:paraId="1D898900">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9</w:t>
            </w:r>
          </w:p>
        </w:tc>
        <w:tc>
          <w:tcPr>
            <w:tcW w:w="732" w:type="dxa"/>
            <w:tcBorders>
              <w:top w:val="nil"/>
              <w:left w:val="nil"/>
              <w:bottom w:val="single" w:color="auto" w:sz="4" w:space="0"/>
              <w:right w:val="single" w:color="auto" w:sz="4" w:space="0"/>
            </w:tcBorders>
            <w:shd w:val="clear" w:color="auto" w:fill="auto"/>
            <w:vAlign w:val="center"/>
          </w:tcPr>
          <w:p w14:paraId="74C93428">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41AF5466">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4D9F1FE7">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0706BD01">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72539EB5">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658AF1AD">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6FCCF79C">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31600</w:t>
            </w:r>
          </w:p>
        </w:tc>
        <w:tc>
          <w:tcPr>
            <w:tcW w:w="1196" w:type="dxa"/>
            <w:tcBorders>
              <w:top w:val="nil"/>
              <w:left w:val="nil"/>
              <w:bottom w:val="single" w:color="auto" w:sz="4" w:space="0"/>
              <w:right w:val="single" w:color="auto" w:sz="4" w:space="0"/>
            </w:tcBorders>
            <w:shd w:val="clear" w:color="auto" w:fill="auto"/>
            <w:vAlign w:val="center"/>
          </w:tcPr>
          <w:p w14:paraId="7854CF48">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31600</w:t>
            </w:r>
          </w:p>
        </w:tc>
        <w:tc>
          <w:tcPr>
            <w:tcW w:w="658" w:type="dxa"/>
            <w:tcBorders>
              <w:top w:val="nil"/>
              <w:left w:val="nil"/>
              <w:bottom w:val="single" w:color="auto" w:sz="4" w:space="0"/>
              <w:right w:val="single" w:color="auto" w:sz="4" w:space="0"/>
            </w:tcBorders>
            <w:shd w:val="clear" w:color="auto" w:fill="auto"/>
            <w:vAlign w:val="center"/>
          </w:tcPr>
          <w:p w14:paraId="2E113A1C">
            <w:pPr>
              <w:widowControl/>
              <w:spacing w:line="240" w:lineRule="exact"/>
              <w:jc w:val="center"/>
              <w:rPr>
                <w:rFonts w:hint="eastAsia" w:ascii="仿宋_GB2312" w:hAnsi="仿宋_GB2312" w:eastAsia="仿宋_GB2312" w:cs="仿宋_GB2312"/>
                <w:b/>
                <w:bCs/>
                <w:color w:val="auto"/>
                <w:kern w:val="0"/>
                <w:sz w:val="20"/>
                <w:szCs w:val="20"/>
              </w:rPr>
            </w:pPr>
          </w:p>
        </w:tc>
      </w:tr>
      <w:tr w14:paraId="14375C39">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A0E340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2-1-1</w:t>
            </w:r>
          </w:p>
        </w:tc>
        <w:tc>
          <w:tcPr>
            <w:tcW w:w="2069" w:type="dxa"/>
            <w:tcBorders>
              <w:top w:val="nil"/>
              <w:left w:val="nil"/>
              <w:bottom w:val="single" w:color="auto" w:sz="4" w:space="0"/>
              <w:right w:val="single" w:color="auto" w:sz="4" w:space="0"/>
            </w:tcBorders>
            <w:shd w:val="clear" w:color="auto" w:fill="auto"/>
            <w:vAlign w:val="center"/>
          </w:tcPr>
          <w:p w14:paraId="7A1E979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澜沧江昂曲重点河段俄洛镇教育园区段治理工程</w:t>
            </w:r>
          </w:p>
        </w:tc>
        <w:tc>
          <w:tcPr>
            <w:tcW w:w="932" w:type="dxa"/>
            <w:tcBorders>
              <w:top w:val="nil"/>
              <w:left w:val="nil"/>
              <w:bottom w:val="single" w:color="auto" w:sz="4" w:space="0"/>
              <w:right w:val="single" w:color="auto" w:sz="4" w:space="0"/>
            </w:tcBorders>
            <w:shd w:val="clear" w:color="auto" w:fill="auto"/>
            <w:vAlign w:val="center"/>
          </w:tcPr>
          <w:p w14:paraId="2479AB5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w:t>
            </w:r>
          </w:p>
        </w:tc>
        <w:tc>
          <w:tcPr>
            <w:tcW w:w="732" w:type="dxa"/>
            <w:tcBorders>
              <w:top w:val="nil"/>
              <w:left w:val="nil"/>
              <w:bottom w:val="single" w:color="auto" w:sz="4" w:space="0"/>
              <w:right w:val="single" w:color="auto" w:sz="4" w:space="0"/>
            </w:tcBorders>
            <w:shd w:val="clear" w:color="auto" w:fill="auto"/>
            <w:vAlign w:val="center"/>
          </w:tcPr>
          <w:p w14:paraId="73BC074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5C614E4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557D76C">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综合治理河道6公里</w:t>
            </w:r>
          </w:p>
        </w:tc>
        <w:tc>
          <w:tcPr>
            <w:tcW w:w="932" w:type="dxa"/>
            <w:tcBorders>
              <w:top w:val="nil"/>
              <w:left w:val="nil"/>
              <w:bottom w:val="single" w:color="auto" w:sz="4" w:space="0"/>
              <w:right w:val="single" w:color="auto" w:sz="4" w:space="0"/>
            </w:tcBorders>
            <w:shd w:val="clear" w:color="auto" w:fill="auto"/>
            <w:vAlign w:val="center"/>
          </w:tcPr>
          <w:p w14:paraId="0B9A1F5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6164065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0F43945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47C2A0B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2900</w:t>
            </w:r>
          </w:p>
        </w:tc>
        <w:tc>
          <w:tcPr>
            <w:tcW w:w="1196" w:type="dxa"/>
            <w:tcBorders>
              <w:top w:val="nil"/>
              <w:left w:val="nil"/>
              <w:bottom w:val="single" w:color="auto" w:sz="4" w:space="0"/>
              <w:right w:val="single" w:color="auto" w:sz="4" w:space="0"/>
            </w:tcBorders>
            <w:shd w:val="clear" w:color="auto" w:fill="auto"/>
            <w:vAlign w:val="center"/>
          </w:tcPr>
          <w:p w14:paraId="41C2816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2900</w:t>
            </w:r>
          </w:p>
        </w:tc>
        <w:tc>
          <w:tcPr>
            <w:tcW w:w="658" w:type="dxa"/>
            <w:tcBorders>
              <w:top w:val="nil"/>
              <w:left w:val="nil"/>
              <w:bottom w:val="single" w:color="auto" w:sz="4" w:space="0"/>
              <w:right w:val="single" w:color="auto" w:sz="4" w:space="0"/>
            </w:tcBorders>
            <w:shd w:val="clear" w:color="auto" w:fill="auto"/>
            <w:vAlign w:val="center"/>
          </w:tcPr>
          <w:p w14:paraId="4FFC2BC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澜沧江昂曲</w:t>
            </w:r>
          </w:p>
        </w:tc>
      </w:tr>
      <w:tr w14:paraId="7CAD1165">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379A2B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2-1-2</w:t>
            </w:r>
          </w:p>
        </w:tc>
        <w:tc>
          <w:tcPr>
            <w:tcW w:w="2069" w:type="dxa"/>
            <w:tcBorders>
              <w:top w:val="nil"/>
              <w:left w:val="nil"/>
              <w:bottom w:val="single" w:color="auto" w:sz="4" w:space="0"/>
              <w:right w:val="single" w:color="auto" w:sz="4" w:space="0"/>
            </w:tcBorders>
            <w:shd w:val="clear" w:color="auto" w:fill="auto"/>
            <w:vAlign w:val="center"/>
          </w:tcPr>
          <w:p w14:paraId="2167A51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澜沧江昂曲重点河段治理工程</w:t>
            </w:r>
          </w:p>
        </w:tc>
        <w:tc>
          <w:tcPr>
            <w:tcW w:w="932" w:type="dxa"/>
            <w:tcBorders>
              <w:top w:val="nil"/>
              <w:left w:val="nil"/>
              <w:bottom w:val="single" w:color="auto" w:sz="4" w:space="0"/>
              <w:right w:val="single" w:color="auto" w:sz="4" w:space="0"/>
            </w:tcBorders>
            <w:shd w:val="clear" w:color="auto" w:fill="auto"/>
            <w:vAlign w:val="center"/>
          </w:tcPr>
          <w:p w14:paraId="625E27C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w:t>
            </w:r>
          </w:p>
        </w:tc>
        <w:tc>
          <w:tcPr>
            <w:tcW w:w="732" w:type="dxa"/>
            <w:tcBorders>
              <w:top w:val="nil"/>
              <w:left w:val="nil"/>
              <w:bottom w:val="single" w:color="auto" w:sz="4" w:space="0"/>
              <w:right w:val="single" w:color="auto" w:sz="4" w:space="0"/>
            </w:tcBorders>
            <w:shd w:val="clear" w:color="auto" w:fill="auto"/>
            <w:vAlign w:val="center"/>
          </w:tcPr>
          <w:p w14:paraId="14C4D34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44592B4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可研在编</w:t>
            </w:r>
          </w:p>
        </w:tc>
        <w:tc>
          <w:tcPr>
            <w:tcW w:w="3116" w:type="dxa"/>
            <w:tcBorders>
              <w:top w:val="nil"/>
              <w:left w:val="nil"/>
              <w:bottom w:val="single" w:color="auto" w:sz="4" w:space="0"/>
              <w:right w:val="single" w:color="auto" w:sz="4" w:space="0"/>
            </w:tcBorders>
            <w:shd w:val="clear" w:color="auto" w:fill="auto"/>
            <w:vAlign w:val="center"/>
          </w:tcPr>
          <w:p w14:paraId="57CE466C">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综合治理河道5公里</w:t>
            </w:r>
          </w:p>
        </w:tc>
        <w:tc>
          <w:tcPr>
            <w:tcW w:w="932" w:type="dxa"/>
            <w:tcBorders>
              <w:top w:val="nil"/>
              <w:left w:val="nil"/>
              <w:bottom w:val="single" w:color="auto" w:sz="4" w:space="0"/>
              <w:right w:val="single" w:color="auto" w:sz="4" w:space="0"/>
            </w:tcBorders>
            <w:shd w:val="clear" w:color="auto" w:fill="auto"/>
            <w:vAlign w:val="center"/>
          </w:tcPr>
          <w:p w14:paraId="6ABC2E1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6295CBE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623D934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1905B03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1196" w:type="dxa"/>
            <w:tcBorders>
              <w:top w:val="nil"/>
              <w:left w:val="nil"/>
              <w:bottom w:val="single" w:color="auto" w:sz="4" w:space="0"/>
              <w:right w:val="single" w:color="auto" w:sz="4" w:space="0"/>
            </w:tcBorders>
            <w:shd w:val="clear" w:color="auto" w:fill="auto"/>
            <w:vAlign w:val="center"/>
          </w:tcPr>
          <w:p w14:paraId="26D2F25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658" w:type="dxa"/>
            <w:tcBorders>
              <w:top w:val="nil"/>
              <w:left w:val="nil"/>
              <w:bottom w:val="single" w:color="auto" w:sz="4" w:space="0"/>
              <w:right w:val="single" w:color="auto" w:sz="4" w:space="0"/>
            </w:tcBorders>
            <w:shd w:val="clear" w:color="auto" w:fill="auto"/>
            <w:vAlign w:val="center"/>
          </w:tcPr>
          <w:p w14:paraId="66D4895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澜沧江昂曲</w:t>
            </w:r>
          </w:p>
        </w:tc>
      </w:tr>
      <w:tr w14:paraId="581E3FBC">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8DB8A7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2-1-3</w:t>
            </w:r>
          </w:p>
        </w:tc>
        <w:tc>
          <w:tcPr>
            <w:tcW w:w="2069" w:type="dxa"/>
            <w:tcBorders>
              <w:top w:val="nil"/>
              <w:left w:val="nil"/>
              <w:bottom w:val="single" w:color="auto" w:sz="4" w:space="0"/>
              <w:right w:val="single" w:color="auto" w:sz="4" w:space="0"/>
            </w:tcBorders>
            <w:shd w:val="clear" w:color="auto" w:fill="auto"/>
            <w:vAlign w:val="center"/>
          </w:tcPr>
          <w:p w14:paraId="7AE1B56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左贡县伟曲扎玉段河道治理工程</w:t>
            </w:r>
          </w:p>
        </w:tc>
        <w:tc>
          <w:tcPr>
            <w:tcW w:w="932" w:type="dxa"/>
            <w:tcBorders>
              <w:top w:val="nil"/>
              <w:left w:val="nil"/>
              <w:bottom w:val="single" w:color="auto" w:sz="4" w:space="0"/>
              <w:right w:val="single" w:color="auto" w:sz="4" w:space="0"/>
            </w:tcBorders>
            <w:shd w:val="clear" w:color="auto" w:fill="auto"/>
            <w:vAlign w:val="center"/>
          </w:tcPr>
          <w:p w14:paraId="02320B8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w:t>
            </w:r>
          </w:p>
        </w:tc>
        <w:tc>
          <w:tcPr>
            <w:tcW w:w="732" w:type="dxa"/>
            <w:tcBorders>
              <w:top w:val="nil"/>
              <w:left w:val="nil"/>
              <w:bottom w:val="single" w:color="auto" w:sz="4" w:space="0"/>
              <w:right w:val="single" w:color="auto" w:sz="4" w:space="0"/>
            </w:tcBorders>
            <w:shd w:val="clear" w:color="auto" w:fill="auto"/>
            <w:vAlign w:val="center"/>
          </w:tcPr>
          <w:p w14:paraId="58D6E6E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4E8E69BC">
            <w:pPr>
              <w:widowControl/>
              <w:spacing w:line="240" w:lineRule="exact"/>
              <w:jc w:val="center"/>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初设待批</w:t>
            </w:r>
          </w:p>
        </w:tc>
        <w:tc>
          <w:tcPr>
            <w:tcW w:w="3116" w:type="dxa"/>
            <w:tcBorders>
              <w:top w:val="nil"/>
              <w:left w:val="nil"/>
              <w:bottom w:val="single" w:color="auto" w:sz="4" w:space="0"/>
              <w:right w:val="single" w:color="auto" w:sz="4" w:space="0"/>
            </w:tcBorders>
            <w:shd w:val="clear" w:color="auto" w:fill="auto"/>
            <w:vAlign w:val="center"/>
          </w:tcPr>
          <w:p w14:paraId="253BB1DA">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综合治理河道5公里</w:t>
            </w:r>
          </w:p>
        </w:tc>
        <w:tc>
          <w:tcPr>
            <w:tcW w:w="932" w:type="dxa"/>
            <w:tcBorders>
              <w:top w:val="nil"/>
              <w:left w:val="nil"/>
              <w:bottom w:val="single" w:color="auto" w:sz="4" w:space="0"/>
              <w:right w:val="single" w:color="auto" w:sz="4" w:space="0"/>
            </w:tcBorders>
            <w:shd w:val="clear" w:color="auto" w:fill="auto"/>
            <w:vAlign w:val="center"/>
          </w:tcPr>
          <w:p w14:paraId="326303A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46FF444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1932497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777BCDA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2500</w:t>
            </w:r>
          </w:p>
        </w:tc>
        <w:tc>
          <w:tcPr>
            <w:tcW w:w="1196" w:type="dxa"/>
            <w:tcBorders>
              <w:top w:val="nil"/>
              <w:left w:val="nil"/>
              <w:bottom w:val="single" w:color="auto" w:sz="4" w:space="0"/>
              <w:right w:val="single" w:color="auto" w:sz="4" w:space="0"/>
            </w:tcBorders>
            <w:shd w:val="clear" w:color="auto" w:fill="auto"/>
            <w:vAlign w:val="center"/>
          </w:tcPr>
          <w:p w14:paraId="510FC9B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2500</w:t>
            </w:r>
          </w:p>
        </w:tc>
        <w:tc>
          <w:tcPr>
            <w:tcW w:w="658" w:type="dxa"/>
            <w:tcBorders>
              <w:top w:val="nil"/>
              <w:left w:val="nil"/>
              <w:bottom w:val="single" w:color="auto" w:sz="4" w:space="0"/>
              <w:right w:val="single" w:color="auto" w:sz="4" w:space="0"/>
            </w:tcBorders>
            <w:shd w:val="clear" w:color="auto" w:fill="auto"/>
            <w:vAlign w:val="center"/>
          </w:tcPr>
          <w:p w14:paraId="621054C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伟曲</w:t>
            </w:r>
          </w:p>
        </w:tc>
      </w:tr>
      <w:tr w14:paraId="1B9F70BA">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DF0A27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2-1-4</w:t>
            </w:r>
          </w:p>
        </w:tc>
        <w:tc>
          <w:tcPr>
            <w:tcW w:w="2069" w:type="dxa"/>
            <w:tcBorders>
              <w:top w:val="nil"/>
              <w:left w:val="nil"/>
              <w:bottom w:val="single" w:color="auto" w:sz="4" w:space="0"/>
              <w:right w:val="single" w:color="auto" w:sz="4" w:space="0"/>
            </w:tcBorders>
            <w:shd w:val="clear" w:color="auto" w:fill="auto"/>
            <w:vAlign w:val="center"/>
          </w:tcPr>
          <w:p w14:paraId="5DAF428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左贡县伟曲碧土段河道治理工程</w:t>
            </w:r>
          </w:p>
        </w:tc>
        <w:tc>
          <w:tcPr>
            <w:tcW w:w="932" w:type="dxa"/>
            <w:tcBorders>
              <w:top w:val="nil"/>
              <w:left w:val="nil"/>
              <w:bottom w:val="single" w:color="auto" w:sz="4" w:space="0"/>
              <w:right w:val="single" w:color="auto" w:sz="4" w:space="0"/>
            </w:tcBorders>
            <w:shd w:val="clear" w:color="auto" w:fill="auto"/>
            <w:vAlign w:val="center"/>
          </w:tcPr>
          <w:p w14:paraId="7F23366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w:t>
            </w:r>
          </w:p>
        </w:tc>
        <w:tc>
          <w:tcPr>
            <w:tcW w:w="732" w:type="dxa"/>
            <w:tcBorders>
              <w:top w:val="nil"/>
              <w:left w:val="nil"/>
              <w:bottom w:val="single" w:color="auto" w:sz="4" w:space="0"/>
              <w:right w:val="single" w:color="auto" w:sz="4" w:space="0"/>
            </w:tcBorders>
            <w:shd w:val="clear" w:color="auto" w:fill="auto"/>
            <w:vAlign w:val="center"/>
          </w:tcPr>
          <w:p w14:paraId="152A2B2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430E892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082A398">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综合治理河道3公里</w:t>
            </w:r>
          </w:p>
        </w:tc>
        <w:tc>
          <w:tcPr>
            <w:tcW w:w="932" w:type="dxa"/>
            <w:tcBorders>
              <w:top w:val="nil"/>
              <w:left w:val="nil"/>
              <w:bottom w:val="single" w:color="auto" w:sz="4" w:space="0"/>
              <w:right w:val="single" w:color="auto" w:sz="4" w:space="0"/>
            </w:tcBorders>
            <w:shd w:val="clear" w:color="auto" w:fill="auto"/>
            <w:vAlign w:val="center"/>
          </w:tcPr>
          <w:p w14:paraId="2C013B4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698507C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2BDE818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7A9CBC1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2259</w:t>
            </w:r>
          </w:p>
        </w:tc>
        <w:tc>
          <w:tcPr>
            <w:tcW w:w="1196" w:type="dxa"/>
            <w:tcBorders>
              <w:top w:val="nil"/>
              <w:left w:val="nil"/>
              <w:bottom w:val="single" w:color="auto" w:sz="4" w:space="0"/>
              <w:right w:val="single" w:color="auto" w:sz="4" w:space="0"/>
            </w:tcBorders>
            <w:shd w:val="clear" w:color="auto" w:fill="auto"/>
            <w:vAlign w:val="center"/>
          </w:tcPr>
          <w:p w14:paraId="05F83DB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2259</w:t>
            </w:r>
          </w:p>
        </w:tc>
        <w:tc>
          <w:tcPr>
            <w:tcW w:w="658" w:type="dxa"/>
            <w:tcBorders>
              <w:top w:val="nil"/>
              <w:left w:val="nil"/>
              <w:bottom w:val="single" w:color="auto" w:sz="4" w:space="0"/>
              <w:right w:val="single" w:color="auto" w:sz="4" w:space="0"/>
            </w:tcBorders>
            <w:shd w:val="clear" w:color="auto" w:fill="auto"/>
            <w:vAlign w:val="center"/>
          </w:tcPr>
          <w:p w14:paraId="653F74E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伟曲</w:t>
            </w:r>
          </w:p>
        </w:tc>
      </w:tr>
      <w:tr w14:paraId="2D600537">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27A8DC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2-1-5</w:t>
            </w:r>
          </w:p>
        </w:tc>
        <w:tc>
          <w:tcPr>
            <w:tcW w:w="2069" w:type="dxa"/>
            <w:tcBorders>
              <w:top w:val="nil"/>
              <w:left w:val="nil"/>
              <w:bottom w:val="single" w:color="auto" w:sz="4" w:space="0"/>
              <w:right w:val="single" w:color="auto" w:sz="4" w:space="0"/>
            </w:tcBorders>
            <w:shd w:val="clear" w:color="auto" w:fill="auto"/>
            <w:vAlign w:val="center"/>
          </w:tcPr>
          <w:p w14:paraId="2E06624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左贡县伟曲流域美玉段治理工程</w:t>
            </w:r>
          </w:p>
        </w:tc>
        <w:tc>
          <w:tcPr>
            <w:tcW w:w="932" w:type="dxa"/>
            <w:tcBorders>
              <w:top w:val="nil"/>
              <w:left w:val="nil"/>
              <w:bottom w:val="single" w:color="auto" w:sz="4" w:space="0"/>
              <w:right w:val="single" w:color="auto" w:sz="4" w:space="0"/>
            </w:tcBorders>
            <w:shd w:val="clear" w:color="auto" w:fill="auto"/>
            <w:vAlign w:val="center"/>
          </w:tcPr>
          <w:p w14:paraId="1CCE519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w:t>
            </w:r>
          </w:p>
        </w:tc>
        <w:tc>
          <w:tcPr>
            <w:tcW w:w="732" w:type="dxa"/>
            <w:tcBorders>
              <w:top w:val="nil"/>
              <w:left w:val="nil"/>
              <w:bottom w:val="single" w:color="auto" w:sz="4" w:space="0"/>
              <w:right w:val="single" w:color="auto" w:sz="4" w:space="0"/>
            </w:tcBorders>
            <w:shd w:val="clear" w:color="auto" w:fill="auto"/>
            <w:vAlign w:val="center"/>
          </w:tcPr>
          <w:p w14:paraId="2E882FD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51E96C9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初设待批</w:t>
            </w:r>
          </w:p>
        </w:tc>
        <w:tc>
          <w:tcPr>
            <w:tcW w:w="3116" w:type="dxa"/>
            <w:tcBorders>
              <w:top w:val="nil"/>
              <w:left w:val="nil"/>
              <w:bottom w:val="single" w:color="auto" w:sz="4" w:space="0"/>
              <w:right w:val="single" w:color="auto" w:sz="4" w:space="0"/>
            </w:tcBorders>
            <w:shd w:val="clear" w:color="auto" w:fill="auto"/>
            <w:vAlign w:val="center"/>
          </w:tcPr>
          <w:p w14:paraId="1B041B71">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综合治理河道4公里</w:t>
            </w:r>
          </w:p>
        </w:tc>
        <w:tc>
          <w:tcPr>
            <w:tcW w:w="932" w:type="dxa"/>
            <w:tcBorders>
              <w:top w:val="nil"/>
              <w:left w:val="nil"/>
              <w:bottom w:val="single" w:color="auto" w:sz="4" w:space="0"/>
              <w:right w:val="single" w:color="auto" w:sz="4" w:space="0"/>
            </w:tcBorders>
            <w:shd w:val="clear" w:color="auto" w:fill="auto"/>
            <w:vAlign w:val="center"/>
          </w:tcPr>
          <w:p w14:paraId="2F3D030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946" w:type="dxa"/>
            <w:tcBorders>
              <w:top w:val="nil"/>
              <w:left w:val="nil"/>
              <w:bottom w:val="single" w:color="auto" w:sz="4" w:space="0"/>
              <w:right w:val="single" w:color="auto" w:sz="4" w:space="0"/>
            </w:tcBorders>
            <w:shd w:val="clear" w:color="auto" w:fill="auto"/>
            <w:vAlign w:val="center"/>
          </w:tcPr>
          <w:p w14:paraId="727ADF8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3890CEB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5413CF6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1741</w:t>
            </w:r>
          </w:p>
        </w:tc>
        <w:tc>
          <w:tcPr>
            <w:tcW w:w="1196" w:type="dxa"/>
            <w:tcBorders>
              <w:top w:val="nil"/>
              <w:left w:val="nil"/>
              <w:bottom w:val="single" w:color="auto" w:sz="4" w:space="0"/>
              <w:right w:val="single" w:color="auto" w:sz="4" w:space="0"/>
            </w:tcBorders>
            <w:shd w:val="clear" w:color="auto" w:fill="auto"/>
            <w:vAlign w:val="center"/>
          </w:tcPr>
          <w:p w14:paraId="3EB2276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1741</w:t>
            </w:r>
          </w:p>
        </w:tc>
        <w:tc>
          <w:tcPr>
            <w:tcW w:w="658" w:type="dxa"/>
            <w:tcBorders>
              <w:top w:val="nil"/>
              <w:left w:val="nil"/>
              <w:bottom w:val="single" w:color="auto" w:sz="4" w:space="0"/>
              <w:right w:val="single" w:color="auto" w:sz="4" w:space="0"/>
            </w:tcBorders>
            <w:shd w:val="clear" w:color="auto" w:fill="auto"/>
            <w:vAlign w:val="center"/>
          </w:tcPr>
          <w:p w14:paraId="1CE9C49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伟曲</w:t>
            </w:r>
          </w:p>
        </w:tc>
      </w:tr>
      <w:tr w14:paraId="1B8B5FA0">
        <w:tblPrEx>
          <w:tblCellMar>
            <w:top w:w="0" w:type="dxa"/>
            <w:left w:w="51" w:type="dxa"/>
            <w:bottom w:w="0" w:type="dxa"/>
            <w:right w:w="51" w:type="dxa"/>
          </w:tblCellMar>
        </w:tblPrEx>
        <w:trPr>
          <w:trHeight w:val="54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FE4DA5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2-1-6</w:t>
            </w:r>
          </w:p>
        </w:tc>
        <w:tc>
          <w:tcPr>
            <w:tcW w:w="2069" w:type="dxa"/>
            <w:tcBorders>
              <w:top w:val="nil"/>
              <w:left w:val="nil"/>
              <w:bottom w:val="single" w:color="auto" w:sz="4" w:space="0"/>
              <w:right w:val="single" w:color="auto" w:sz="4" w:space="0"/>
            </w:tcBorders>
            <w:shd w:val="clear" w:color="auto" w:fill="auto"/>
            <w:vAlign w:val="center"/>
          </w:tcPr>
          <w:p w14:paraId="429424A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盖曲重点河段卡若区段治理工程</w:t>
            </w:r>
          </w:p>
        </w:tc>
        <w:tc>
          <w:tcPr>
            <w:tcW w:w="932" w:type="dxa"/>
            <w:tcBorders>
              <w:top w:val="nil"/>
              <w:left w:val="nil"/>
              <w:bottom w:val="single" w:color="auto" w:sz="4" w:space="0"/>
              <w:right w:val="single" w:color="auto" w:sz="4" w:space="0"/>
            </w:tcBorders>
            <w:shd w:val="clear" w:color="auto" w:fill="auto"/>
            <w:vAlign w:val="center"/>
          </w:tcPr>
          <w:p w14:paraId="2C495D4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w:t>
            </w:r>
          </w:p>
        </w:tc>
        <w:tc>
          <w:tcPr>
            <w:tcW w:w="732" w:type="dxa"/>
            <w:tcBorders>
              <w:top w:val="nil"/>
              <w:left w:val="nil"/>
              <w:bottom w:val="single" w:color="auto" w:sz="4" w:space="0"/>
              <w:right w:val="single" w:color="auto" w:sz="4" w:space="0"/>
            </w:tcBorders>
            <w:shd w:val="clear" w:color="auto" w:fill="auto"/>
            <w:vAlign w:val="center"/>
          </w:tcPr>
          <w:p w14:paraId="76D2D9C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A3DA52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1DC5B6F1">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综合治理河道11公里</w:t>
            </w:r>
          </w:p>
        </w:tc>
        <w:tc>
          <w:tcPr>
            <w:tcW w:w="932" w:type="dxa"/>
            <w:tcBorders>
              <w:top w:val="nil"/>
              <w:left w:val="nil"/>
              <w:bottom w:val="single" w:color="auto" w:sz="4" w:space="0"/>
              <w:right w:val="single" w:color="auto" w:sz="4" w:space="0"/>
            </w:tcBorders>
            <w:shd w:val="clear" w:color="auto" w:fill="auto"/>
            <w:vAlign w:val="center"/>
          </w:tcPr>
          <w:p w14:paraId="4BF90B6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2DBE644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13D3BF0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402385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7100</w:t>
            </w:r>
          </w:p>
        </w:tc>
        <w:tc>
          <w:tcPr>
            <w:tcW w:w="1196" w:type="dxa"/>
            <w:tcBorders>
              <w:top w:val="nil"/>
              <w:left w:val="nil"/>
              <w:bottom w:val="single" w:color="auto" w:sz="4" w:space="0"/>
              <w:right w:val="single" w:color="auto" w:sz="4" w:space="0"/>
            </w:tcBorders>
            <w:shd w:val="clear" w:color="auto" w:fill="auto"/>
            <w:vAlign w:val="center"/>
          </w:tcPr>
          <w:p w14:paraId="12A4DA7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7100</w:t>
            </w:r>
          </w:p>
        </w:tc>
        <w:tc>
          <w:tcPr>
            <w:tcW w:w="658" w:type="dxa"/>
            <w:tcBorders>
              <w:top w:val="nil"/>
              <w:left w:val="nil"/>
              <w:bottom w:val="single" w:color="auto" w:sz="4" w:space="0"/>
              <w:right w:val="single" w:color="auto" w:sz="4" w:space="0"/>
            </w:tcBorders>
            <w:shd w:val="clear" w:color="auto" w:fill="auto"/>
            <w:vAlign w:val="center"/>
          </w:tcPr>
          <w:p w14:paraId="611ED67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盖曲</w:t>
            </w:r>
          </w:p>
        </w:tc>
      </w:tr>
      <w:tr w14:paraId="03323B40">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608A22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2-1-7</w:t>
            </w:r>
          </w:p>
        </w:tc>
        <w:tc>
          <w:tcPr>
            <w:tcW w:w="2069" w:type="dxa"/>
            <w:tcBorders>
              <w:top w:val="nil"/>
              <w:left w:val="nil"/>
              <w:bottom w:val="single" w:color="auto" w:sz="4" w:space="0"/>
              <w:right w:val="single" w:color="auto" w:sz="4" w:space="0"/>
            </w:tcBorders>
            <w:shd w:val="clear" w:color="auto" w:fill="auto"/>
            <w:vAlign w:val="center"/>
          </w:tcPr>
          <w:p w14:paraId="414DE5A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藏曲重点河段治理工程</w:t>
            </w:r>
          </w:p>
        </w:tc>
        <w:tc>
          <w:tcPr>
            <w:tcW w:w="932" w:type="dxa"/>
            <w:tcBorders>
              <w:top w:val="nil"/>
              <w:left w:val="nil"/>
              <w:bottom w:val="single" w:color="auto" w:sz="4" w:space="0"/>
              <w:right w:val="single" w:color="auto" w:sz="4" w:space="0"/>
            </w:tcBorders>
            <w:shd w:val="clear" w:color="auto" w:fill="auto"/>
            <w:vAlign w:val="center"/>
          </w:tcPr>
          <w:p w14:paraId="2422FBC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490361B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4FEC88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可研在编</w:t>
            </w:r>
          </w:p>
        </w:tc>
        <w:tc>
          <w:tcPr>
            <w:tcW w:w="3116" w:type="dxa"/>
            <w:tcBorders>
              <w:top w:val="nil"/>
              <w:left w:val="nil"/>
              <w:bottom w:val="single" w:color="auto" w:sz="4" w:space="0"/>
              <w:right w:val="single" w:color="auto" w:sz="4" w:space="0"/>
            </w:tcBorders>
            <w:shd w:val="clear" w:color="auto" w:fill="auto"/>
            <w:vAlign w:val="center"/>
          </w:tcPr>
          <w:p w14:paraId="7BC7B5AF">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综合治理河道2公里</w:t>
            </w:r>
          </w:p>
        </w:tc>
        <w:tc>
          <w:tcPr>
            <w:tcW w:w="932" w:type="dxa"/>
            <w:tcBorders>
              <w:top w:val="nil"/>
              <w:left w:val="nil"/>
              <w:bottom w:val="single" w:color="auto" w:sz="4" w:space="0"/>
              <w:right w:val="single" w:color="auto" w:sz="4" w:space="0"/>
            </w:tcBorders>
            <w:shd w:val="clear" w:color="auto" w:fill="auto"/>
            <w:vAlign w:val="center"/>
          </w:tcPr>
          <w:p w14:paraId="5F5A4AB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1E06218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62BDC56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7953787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528</w:t>
            </w:r>
          </w:p>
        </w:tc>
        <w:tc>
          <w:tcPr>
            <w:tcW w:w="1196" w:type="dxa"/>
            <w:tcBorders>
              <w:top w:val="nil"/>
              <w:left w:val="nil"/>
              <w:bottom w:val="single" w:color="auto" w:sz="4" w:space="0"/>
              <w:right w:val="single" w:color="auto" w:sz="4" w:space="0"/>
            </w:tcBorders>
            <w:shd w:val="clear" w:color="auto" w:fill="auto"/>
            <w:vAlign w:val="center"/>
          </w:tcPr>
          <w:p w14:paraId="5AA16B1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528</w:t>
            </w:r>
          </w:p>
        </w:tc>
        <w:tc>
          <w:tcPr>
            <w:tcW w:w="658" w:type="dxa"/>
            <w:tcBorders>
              <w:top w:val="nil"/>
              <w:left w:val="nil"/>
              <w:bottom w:val="single" w:color="auto" w:sz="4" w:space="0"/>
              <w:right w:val="single" w:color="auto" w:sz="4" w:space="0"/>
            </w:tcBorders>
            <w:shd w:val="clear" w:color="auto" w:fill="auto"/>
            <w:vAlign w:val="center"/>
          </w:tcPr>
          <w:p w14:paraId="6C26B51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藏曲</w:t>
            </w:r>
          </w:p>
        </w:tc>
      </w:tr>
      <w:tr w14:paraId="410BE072">
        <w:tblPrEx>
          <w:tblCellMar>
            <w:top w:w="0" w:type="dxa"/>
            <w:left w:w="51" w:type="dxa"/>
            <w:bottom w:w="0" w:type="dxa"/>
            <w:right w:w="51" w:type="dxa"/>
          </w:tblCellMar>
        </w:tblPrEx>
        <w:trPr>
          <w:trHeight w:val="81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DE48F8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2-1-8</w:t>
            </w:r>
          </w:p>
        </w:tc>
        <w:tc>
          <w:tcPr>
            <w:tcW w:w="2069" w:type="dxa"/>
            <w:tcBorders>
              <w:top w:val="nil"/>
              <w:left w:val="nil"/>
              <w:bottom w:val="single" w:color="auto" w:sz="4" w:space="0"/>
              <w:right w:val="single" w:color="auto" w:sz="4" w:space="0"/>
            </w:tcBorders>
            <w:shd w:val="clear" w:color="auto" w:fill="auto"/>
            <w:vAlign w:val="center"/>
          </w:tcPr>
          <w:p w14:paraId="29C1F81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江达县波罗乡政府整体搬迁项目防洪堤工程</w:t>
            </w:r>
          </w:p>
        </w:tc>
        <w:tc>
          <w:tcPr>
            <w:tcW w:w="932" w:type="dxa"/>
            <w:tcBorders>
              <w:top w:val="nil"/>
              <w:left w:val="nil"/>
              <w:bottom w:val="single" w:color="auto" w:sz="4" w:space="0"/>
              <w:right w:val="single" w:color="auto" w:sz="4" w:space="0"/>
            </w:tcBorders>
            <w:shd w:val="clear" w:color="auto" w:fill="auto"/>
            <w:vAlign w:val="center"/>
          </w:tcPr>
          <w:p w14:paraId="306FBB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0CA7D89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3B57FCB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1567CC6">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新建堤防5.087公里</w:t>
            </w:r>
          </w:p>
        </w:tc>
        <w:tc>
          <w:tcPr>
            <w:tcW w:w="932" w:type="dxa"/>
            <w:tcBorders>
              <w:top w:val="nil"/>
              <w:left w:val="nil"/>
              <w:bottom w:val="single" w:color="auto" w:sz="4" w:space="0"/>
              <w:right w:val="single" w:color="auto" w:sz="4" w:space="0"/>
            </w:tcBorders>
            <w:shd w:val="clear" w:color="auto" w:fill="auto"/>
            <w:vAlign w:val="center"/>
          </w:tcPr>
          <w:p w14:paraId="37BD485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3F818C3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0557EFC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6A0771B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5972</w:t>
            </w:r>
          </w:p>
        </w:tc>
        <w:tc>
          <w:tcPr>
            <w:tcW w:w="1196" w:type="dxa"/>
            <w:tcBorders>
              <w:top w:val="nil"/>
              <w:left w:val="nil"/>
              <w:bottom w:val="single" w:color="auto" w:sz="4" w:space="0"/>
              <w:right w:val="single" w:color="auto" w:sz="4" w:space="0"/>
            </w:tcBorders>
            <w:shd w:val="clear" w:color="auto" w:fill="auto"/>
            <w:vAlign w:val="center"/>
          </w:tcPr>
          <w:p w14:paraId="638EF8E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5972</w:t>
            </w:r>
          </w:p>
        </w:tc>
        <w:tc>
          <w:tcPr>
            <w:tcW w:w="658" w:type="dxa"/>
            <w:tcBorders>
              <w:top w:val="nil"/>
              <w:left w:val="nil"/>
              <w:bottom w:val="single" w:color="auto" w:sz="4" w:space="0"/>
              <w:right w:val="single" w:color="auto" w:sz="4" w:space="0"/>
            </w:tcBorders>
            <w:shd w:val="clear" w:color="auto" w:fill="auto"/>
            <w:vAlign w:val="center"/>
          </w:tcPr>
          <w:p w14:paraId="17C3523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藏曲</w:t>
            </w:r>
          </w:p>
        </w:tc>
      </w:tr>
      <w:tr w14:paraId="7D2C0FB8">
        <w:tblPrEx>
          <w:tblCellMar>
            <w:top w:w="0" w:type="dxa"/>
            <w:left w:w="51" w:type="dxa"/>
            <w:bottom w:w="0" w:type="dxa"/>
            <w:right w:w="51" w:type="dxa"/>
          </w:tblCellMar>
        </w:tblPrEx>
        <w:trPr>
          <w:trHeight w:val="54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8A671D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2-1-9</w:t>
            </w:r>
          </w:p>
        </w:tc>
        <w:tc>
          <w:tcPr>
            <w:tcW w:w="2069" w:type="dxa"/>
            <w:tcBorders>
              <w:top w:val="nil"/>
              <w:left w:val="nil"/>
              <w:bottom w:val="single" w:color="auto" w:sz="4" w:space="0"/>
              <w:right w:val="single" w:color="auto" w:sz="4" w:space="0"/>
            </w:tcBorders>
            <w:shd w:val="clear" w:color="auto" w:fill="auto"/>
            <w:vAlign w:val="center"/>
          </w:tcPr>
          <w:p w14:paraId="536FE36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通天河重点河段治理工程</w:t>
            </w:r>
          </w:p>
        </w:tc>
        <w:tc>
          <w:tcPr>
            <w:tcW w:w="932" w:type="dxa"/>
            <w:tcBorders>
              <w:top w:val="nil"/>
              <w:left w:val="nil"/>
              <w:bottom w:val="single" w:color="auto" w:sz="4" w:space="0"/>
              <w:right w:val="single" w:color="auto" w:sz="4" w:space="0"/>
            </w:tcBorders>
            <w:shd w:val="clear" w:color="auto" w:fill="auto"/>
            <w:vAlign w:val="center"/>
          </w:tcPr>
          <w:p w14:paraId="1041064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386B662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D8CF9D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可研在编</w:t>
            </w:r>
          </w:p>
        </w:tc>
        <w:tc>
          <w:tcPr>
            <w:tcW w:w="3116" w:type="dxa"/>
            <w:tcBorders>
              <w:top w:val="nil"/>
              <w:left w:val="nil"/>
              <w:bottom w:val="single" w:color="auto" w:sz="4" w:space="0"/>
              <w:right w:val="single" w:color="auto" w:sz="4" w:space="0"/>
            </w:tcBorders>
            <w:shd w:val="clear" w:color="auto" w:fill="auto"/>
            <w:vAlign w:val="center"/>
          </w:tcPr>
          <w:p w14:paraId="31877A27">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综合治理河道6公里</w:t>
            </w:r>
          </w:p>
        </w:tc>
        <w:tc>
          <w:tcPr>
            <w:tcW w:w="932" w:type="dxa"/>
            <w:tcBorders>
              <w:top w:val="nil"/>
              <w:left w:val="nil"/>
              <w:bottom w:val="single" w:color="auto" w:sz="4" w:space="0"/>
              <w:right w:val="single" w:color="auto" w:sz="4" w:space="0"/>
            </w:tcBorders>
            <w:shd w:val="clear" w:color="auto" w:fill="auto"/>
            <w:vAlign w:val="center"/>
          </w:tcPr>
          <w:p w14:paraId="04ACD99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73A88E4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5CBCB2F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36ADB0E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6500</w:t>
            </w:r>
          </w:p>
        </w:tc>
        <w:tc>
          <w:tcPr>
            <w:tcW w:w="1196" w:type="dxa"/>
            <w:tcBorders>
              <w:top w:val="nil"/>
              <w:left w:val="nil"/>
              <w:bottom w:val="single" w:color="auto" w:sz="4" w:space="0"/>
              <w:right w:val="single" w:color="auto" w:sz="4" w:space="0"/>
            </w:tcBorders>
            <w:shd w:val="clear" w:color="auto" w:fill="auto"/>
            <w:vAlign w:val="center"/>
          </w:tcPr>
          <w:p w14:paraId="3E0EC73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6500</w:t>
            </w:r>
          </w:p>
        </w:tc>
        <w:tc>
          <w:tcPr>
            <w:tcW w:w="658" w:type="dxa"/>
            <w:tcBorders>
              <w:top w:val="nil"/>
              <w:left w:val="nil"/>
              <w:bottom w:val="single" w:color="auto" w:sz="4" w:space="0"/>
              <w:right w:val="single" w:color="auto" w:sz="4" w:space="0"/>
            </w:tcBorders>
            <w:shd w:val="clear" w:color="auto" w:fill="auto"/>
            <w:vAlign w:val="center"/>
          </w:tcPr>
          <w:p w14:paraId="45C1CA8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通天河</w:t>
            </w:r>
          </w:p>
        </w:tc>
      </w:tr>
      <w:tr w14:paraId="380D14E4">
        <w:tblPrEx>
          <w:tblCellMar>
            <w:top w:w="0" w:type="dxa"/>
            <w:left w:w="51" w:type="dxa"/>
            <w:bottom w:w="0" w:type="dxa"/>
            <w:right w:w="51" w:type="dxa"/>
          </w:tblCellMar>
        </w:tblPrEx>
        <w:trPr>
          <w:trHeight w:val="55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4ACDC95">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2-2</w:t>
            </w:r>
          </w:p>
        </w:tc>
        <w:tc>
          <w:tcPr>
            <w:tcW w:w="2069" w:type="dxa"/>
            <w:tcBorders>
              <w:top w:val="nil"/>
              <w:left w:val="nil"/>
              <w:bottom w:val="single" w:color="auto" w:sz="4" w:space="0"/>
              <w:right w:val="single" w:color="auto" w:sz="4" w:space="0"/>
            </w:tcBorders>
            <w:shd w:val="clear" w:color="auto" w:fill="auto"/>
            <w:vAlign w:val="center"/>
          </w:tcPr>
          <w:p w14:paraId="353F6E18">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流域面积200-3000平方公里中小河流治理</w:t>
            </w:r>
          </w:p>
        </w:tc>
        <w:tc>
          <w:tcPr>
            <w:tcW w:w="932" w:type="dxa"/>
            <w:tcBorders>
              <w:top w:val="nil"/>
              <w:left w:val="nil"/>
              <w:bottom w:val="single" w:color="auto" w:sz="4" w:space="0"/>
              <w:right w:val="single" w:color="auto" w:sz="4" w:space="0"/>
            </w:tcBorders>
            <w:shd w:val="clear" w:color="auto" w:fill="auto"/>
            <w:vAlign w:val="center"/>
          </w:tcPr>
          <w:p w14:paraId="14A665C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24</w:t>
            </w:r>
          </w:p>
        </w:tc>
        <w:tc>
          <w:tcPr>
            <w:tcW w:w="732" w:type="dxa"/>
            <w:tcBorders>
              <w:top w:val="nil"/>
              <w:left w:val="nil"/>
              <w:bottom w:val="single" w:color="auto" w:sz="4" w:space="0"/>
              <w:right w:val="single" w:color="auto" w:sz="4" w:space="0"/>
            </w:tcBorders>
            <w:shd w:val="clear" w:color="auto" w:fill="auto"/>
            <w:vAlign w:val="center"/>
          </w:tcPr>
          <w:p w14:paraId="59E830EC">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148F9223">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55CF355B">
            <w:pPr>
              <w:widowControl/>
              <w:spacing w:line="240" w:lineRule="exact"/>
              <w:jc w:val="left"/>
              <w:rPr>
                <w:rFonts w:hint="eastAsia" w:ascii="仿宋_GB2312" w:hAnsi="仿宋_GB2312" w:eastAsia="仿宋_GB2312" w:cs="仿宋_GB2312"/>
                <w:b/>
                <w:bCs/>
                <w:color w:val="auto"/>
                <w:kern w:val="0"/>
                <w:sz w:val="20"/>
                <w:szCs w:val="20"/>
                <w:lang w:eastAsia="zh-CN"/>
              </w:rPr>
            </w:pPr>
          </w:p>
        </w:tc>
        <w:tc>
          <w:tcPr>
            <w:tcW w:w="932" w:type="dxa"/>
            <w:tcBorders>
              <w:top w:val="nil"/>
              <w:left w:val="nil"/>
              <w:bottom w:val="single" w:color="auto" w:sz="4" w:space="0"/>
              <w:right w:val="single" w:color="auto" w:sz="4" w:space="0"/>
            </w:tcBorders>
            <w:shd w:val="clear" w:color="auto" w:fill="auto"/>
            <w:vAlign w:val="center"/>
          </w:tcPr>
          <w:p w14:paraId="6D761637">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57C520C8">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38D1DB45">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75A2718D">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43508</w:t>
            </w:r>
          </w:p>
        </w:tc>
        <w:tc>
          <w:tcPr>
            <w:tcW w:w="1196" w:type="dxa"/>
            <w:tcBorders>
              <w:top w:val="nil"/>
              <w:left w:val="nil"/>
              <w:bottom w:val="single" w:color="auto" w:sz="4" w:space="0"/>
              <w:right w:val="single" w:color="auto" w:sz="4" w:space="0"/>
            </w:tcBorders>
            <w:shd w:val="clear" w:color="auto" w:fill="auto"/>
            <w:vAlign w:val="center"/>
          </w:tcPr>
          <w:p w14:paraId="12CA1E23">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41808</w:t>
            </w:r>
          </w:p>
        </w:tc>
        <w:tc>
          <w:tcPr>
            <w:tcW w:w="658" w:type="dxa"/>
            <w:tcBorders>
              <w:top w:val="nil"/>
              <w:left w:val="nil"/>
              <w:bottom w:val="single" w:color="auto" w:sz="4" w:space="0"/>
              <w:right w:val="single" w:color="auto" w:sz="4" w:space="0"/>
            </w:tcBorders>
            <w:shd w:val="clear" w:color="auto" w:fill="auto"/>
            <w:vAlign w:val="center"/>
          </w:tcPr>
          <w:p w14:paraId="41582EC3">
            <w:pPr>
              <w:widowControl/>
              <w:spacing w:line="240" w:lineRule="exact"/>
              <w:jc w:val="center"/>
              <w:rPr>
                <w:rFonts w:hint="eastAsia" w:ascii="仿宋_GB2312" w:hAnsi="仿宋_GB2312" w:eastAsia="仿宋_GB2312" w:cs="仿宋_GB2312"/>
                <w:b/>
                <w:bCs/>
                <w:color w:val="auto"/>
                <w:kern w:val="0"/>
                <w:sz w:val="20"/>
                <w:szCs w:val="20"/>
              </w:rPr>
            </w:pPr>
          </w:p>
        </w:tc>
      </w:tr>
      <w:tr w14:paraId="687C766F">
        <w:tblPrEx>
          <w:tblCellMar>
            <w:top w:w="0" w:type="dxa"/>
            <w:left w:w="51" w:type="dxa"/>
            <w:bottom w:w="0" w:type="dxa"/>
            <w:right w:w="51" w:type="dxa"/>
          </w:tblCellMar>
        </w:tblPrEx>
        <w:trPr>
          <w:trHeight w:val="55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1F1132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w:t>
            </w:r>
          </w:p>
        </w:tc>
        <w:tc>
          <w:tcPr>
            <w:tcW w:w="2069" w:type="dxa"/>
            <w:tcBorders>
              <w:top w:val="nil"/>
              <w:left w:val="nil"/>
              <w:bottom w:val="single" w:color="auto" w:sz="4" w:space="0"/>
              <w:right w:val="single" w:color="auto" w:sz="4" w:space="0"/>
            </w:tcBorders>
            <w:shd w:val="clear" w:color="auto" w:fill="auto"/>
            <w:vAlign w:val="center"/>
          </w:tcPr>
          <w:p w14:paraId="7117BD9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类乌齐县马曲拥卡玛多乡防洪工程</w:t>
            </w:r>
          </w:p>
        </w:tc>
        <w:tc>
          <w:tcPr>
            <w:tcW w:w="932" w:type="dxa"/>
            <w:tcBorders>
              <w:top w:val="nil"/>
              <w:left w:val="nil"/>
              <w:bottom w:val="single" w:color="auto" w:sz="4" w:space="0"/>
              <w:right w:val="single" w:color="auto" w:sz="4" w:space="0"/>
            </w:tcBorders>
            <w:shd w:val="clear" w:color="auto" w:fill="auto"/>
            <w:vAlign w:val="center"/>
          </w:tcPr>
          <w:p w14:paraId="53CFD56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w:t>
            </w:r>
          </w:p>
        </w:tc>
        <w:tc>
          <w:tcPr>
            <w:tcW w:w="732" w:type="dxa"/>
            <w:tcBorders>
              <w:top w:val="nil"/>
              <w:left w:val="nil"/>
              <w:bottom w:val="single" w:color="auto" w:sz="4" w:space="0"/>
              <w:right w:val="single" w:color="auto" w:sz="4" w:space="0"/>
            </w:tcBorders>
            <w:shd w:val="clear" w:color="auto" w:fill="auto"/>
            <w:vAlign w:val="center"/>
          </w:tcPr>
          <w:p w14:paraId="2858262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续建</w:t>
            </w:r>
          </w:p>
        </w:tc>
        <w:tc>
          <w:tcPr>
            <w:tcW w:w="1135" w:type="dxa"/>
            <w:tcBorders>
              <w:top w:val="nil"/>
              <w:left w:val="nil"/>
              <w:bottom w:val="single" w:color="auto" w:sz="4" w:space="0"/>
              <w:right w:val="single" w:color="auto" w:sz="4" w:space="0"/>
            </w:tcBorders>
            <w:shd w:val="clear" w:color="auto" w:fill="auto"/>
            <w:vAlign w:val="center"/>
          </w:tcPr>
          <w:p w14:paraId="14CE4D8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228DB46">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修建防洪堤7.05公里</w:t>
            </w:r>
          </w:p>
        </w:tc>
        <w:tc>
          <w:tcPr>
            <w:tcW w:w="932" w:type="dxa"/>
            <w:tcBorders>
              <w:top w:val="nil"/>
              <w:left w:val="nil"/>
              <w:bottom w:val="single" w:color="auto" w:sz="4" w:space="0"/>
              <w:right w:val="single" w:color="auto" w:sz="4" w:space="0"/>
            </w:tcBorders>
            <w:shd w:val="clear" w:color="auto" w:fill="auto"/>
            <w:vAlign w:val="center"/>
          </w:tcPr>
          <w:p w14:paraId="01E6E69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2020</w:t>
            </w:r>
          </w:p>
        </w:tc>
        <w:tc>
          <w:tcPr>
            <w:tcW w:w="946" w:type="dxa"/>
            <w:tcBorders>
              <w:top w:val="nil"/>
              <w:left w:val="nil"/>
              <w:bottom w:val="single" w:color="auto" w:sz="4" w:space="0"/>
              <w:right w:val="single" w:color="auto" w:sz="4" w:space="0"/>
            </w:tcBorders>
            <w:shd w:val="clear" w:color="auto" w:fill="auto"/>
            <w:vAlign w:val="center"/>
          </w:tcPr>
          <w:p w14:paraId="0AEE7AF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0DE2DE9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F2EDB9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2898</w:t>
            </w:r>
          </w:p>
        </w:tc>
        <w:tc>
          <w:tcPr>
            <w:tcW w:w="1196" w:type="dxa"/>
            <w:tcBorders>
              <w:top w:val="nil"/>
              <w:left w:val="nil"/>
              <w:bottom w:val="single" w:color="auto" w:sz="4" w:space="0"/>
              <w:right w:val="single" w:color="auto" w:sz="4" w:space="0"/>
            </w:tcBorders>
            <w:shd w:val="clear" w:color="auto" w:fill="auto"/>
            <w:vAlign w:val="center"/>
          </w:tcPr>
          <w:p w14:paraId="0762FC5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1198</w:t>
            </w:r>
          </w:p>
        </w:tc>
        <w:tc>
          <w:tcPr>
            <w:tcW w:w="658" w:type="dxa"/>
            <w:tcBorders>
              <w:top w:val="nil"/>
              <w:left w:val="nil"/>
              <w:bottom w:val="single" w:color="auto" w:sz="4" w:space="0"/>
              <w:right w:val="single" w:color="auto" w:sz="4" w:space="0"/>
            </w:tcBorders>
            <w:shd w:val="clear" w:color="auto" w:fill="auto"/>
            <w:vAlign w:val="center"/>
          </w:tcPr>
          <w:p w14:paraId="76CE8FBD">
            <w:pPr>
              <w:widowControl/>
              <w:spacing w:line="240" w:lineRule="exact"/>
              <w:jc w:val="center"/>
              <w:rPr>
                <w:rFonts w:hint="eastAsia" w:ascii="仿宋_GB2312" w:hAnsi="仿宋_GB2312" w:eastAsia="仿宋_GB2312" w:cs="仿宋_GB2312"/>
                <w:color w:val="auto"/>
                <w:kern w:val="0"/>
                <w:sz w:val="20"/>
                <w:szCs w:val="20"/>
              </w:rPr>
            </w:pPr>
          </w:p>
        </w:tc>
      </w:tr>
      <w:tr w14:paraId="19F5D9D1">
        <w:tblPrEx>
          <w:tblCellMar>
            <w:top w:w="0" w:type="dxa"/>
            <w:left w:w="51" w:type="dxa"/>
            <w:bottom w:w="0" w:type="dxa"/>
            <w:right w:w="51" w:type="dxa"/>
          </w:tblCellMar>
        </w:tblPrEx>
        <w:trPr>
          <w:trHeight w:val="1699"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6C4E88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2-2-2</w:t>
            </w:r>
          </w:p>
        </w:tc>
        <w:tc>
          <w:tcPr>
            <w:tcW w:w="2069" w:type="dxa"/>
            <w:tcBorders>
              <w:top w:val="nil"/>
              <w:left w:val="nil"/>
              <w:bottom w:val="single" w:color="auto" w:sz="4" w:space="0"/>
              <w:right w:val="single" w:color="auto" w:sz="4" w:space="0"/>
            </w:tcBorders>
            <w:shd w:val="clear" w:color="auto" w:fill="auto"/>
            <w:vAlign w:val="center"/>
          </w:tcPr>
          <w:p w14:paraId="0FB5110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八宿县娃拉拥曲瓦乡段防洪堤工程</w:t>
            </w:r>
          </w:p>
        </w:tc>
        <w:tc>
          <w:tcPr>
            <w:tcW w:w="932" w:type="dxa"/>
            <w:tcBorders>
              <w:top w:val="nil"/>
              <w:left w:val="nil"/>
              <w:bottom w:val="single" w:color="auto" w:sz="4" w:space="0"/>
              <w:right w:val="single" w:color="auto" w:sz="4" w:space="0"/>
            </w:tcBorders>
            <w:shd w:val="clear" w:color="auto" w:fill="auto"/>
            <w:vAlign w:val="center"/>
          </w:tcPr>
          <w:p w14:paraId="07A4C73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5DBD5AF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F22FED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3435E4C">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综合治理长度3公里。新建防洪堤总长1176.4米，其中钢筋石笼堤防734.6米，浆砌石堤防441.8米，河道清淤长度670米，5级堤防，防洪标准10年一遇，保护瓦乡耕地面积41.4亩、林地9.7亩、21村户共125人</w:t>
            </w:r>
          </w:p>
        </w:tc>
        <w:tc>
          <w:tcPr>
            <w:tcW w:w="932" w:type="dxa"/>
            <w:tcBorders>
              <w:top w:val="nil"/>
              <w:left w:val="nil"/>
              <w:bottom w:val="single" w:color="auto" w:sz="4" w:space="0"/>
              <w:right w:val="single" w:color="auto" w:sz="4" w:space="0"/>
            </w:tcBorders>
            <w:shd w:val="clear" w:color="auto" w:fill="auto"/>
            <w:vAlign w:val="center"/>
          </w:tcPr>
          <w:p w14:paraId="1668005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12E46A7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352AD40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9B6824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547</w:t>
            </w:r>
          </w:p>
        </w:tc>
        <w:tc>
          <w:tcPr>
            <w:tcW w:w="1196" w:type="dxa"/>
            <w:tcBorders>
              <w:top w:val="nil"/>
              <w:left w:val="nil"/>
              <w:bottom w:val="single" w:color="auto" w:sz="4" w:space="0"/>
              <w:right w:val="single" w:color="auto" w:sz="4" w:space="0"/>
            </w:tcBorders>
            <w:shd w:val="clear" w:color="auto" w:fill="auto"/>
            <w:vAlign w:val="center"/>
          </w:tcPr>
          <w:p w14:paraId="7020474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547</w:t>
            </w:r>
          </w:p>
        </w:tc>
        <w:tc>
          <w:tcPr>
            <w:tcW w:w="658" w:type="dxa"/>
            <w:tcBorders>
              <w:top w:val="nil"/>
              <w:left w:val="nil"/>
              <w:bottom w:val="single" w:color="auto" w:sz="4" w:space="0"/>
              <w:right w:val="single" w:color="auto" w:sz="4" w:space="0"/>
            </w:tcBorders>
            <w:shd w:val="clear" w:color="auto" w:fill="auto"/>
            <w:vAlign w:val="center"/>
          </w:tcPr>
          <w:p w14:paraId="68CF9102">
            <w:pPr>
              <w:widowControl/>
              <w:spacing w:line="240" w:lineRule="exact"/>
              <w:jc w:val="center"/>
              <w:rPr>
                <w:rFonts w:hint="eastAsia" w:ascii="仿宋_GB2312" w:hAnsi="仿宋_GB2312" w:eastAsia="仿宋_GB2312" w:cs="仿宋_GB2312"/>
                <w:color w:val="auto"/>
                <w:kern w:val="0"/>
                <w:sz w:val="20"/>
                <w:szCs w:val="20"/>
              </w:rPr>
            </w:pPr>
          </w:p>
        </w:tc>
      </w:tr>
      <w:tr w14:paraId="3EEF89CE">
        <w:tblPrEx>
          <w:tblCellMar>
            <w:top w:w="0" w:type="dxa"/>
            <w:left w:w="51" w:type="dxa"/>
            <w:bottom w:w="0" w:type="dxa"/>
            <w:right w:w="51" w:type="dxa"/>
          </w:tblCellMar>
        </w:tblPrEx>
        <w:trPr>
          <w:trHeight w:val="135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75CA5A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2-2-3</w:t>
            </w:r>
          </w:p>
        </w:tc>
        <w:tc>
          <w:tcPr>
            <w:tcW w:w="2069" w:type="dxa"/>
            <w:tcBorders>
              <w:top w:val="nil"/>
              <w:left w:val="nil"/>
              <w:bottom w:val="single" w:color="auto" w:sz="4" w:space="0"/>
              <w:right w:val="single" w:color="auto" w:sz="4" w:space="0"/>
            </w:tcBorders>
            <w:shd w:val="clear" w:color="auto" w:fill="auto"/>
            <w:vAlign w:val="center"/>
          </w:tcPr>
          <w:p w14:paraId="5D2503A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贡觉县马曲上游哈加乡曲登段防洪堤</w:t>
            </w:r>
          </w:p>
        </w:tc>
        <w:tc>
          <w:tcPr>
            <w:tcW w:w="932" w:type="dxa"/>
            <w:tcBorders>
              <w:top w:val="nil"/>
              <w:left w:val="nil"/>
              <w:bottom w:val="single" w:color="auto" w:sz="4" w:space="0"/>
              <w:right w:val="single" w:color="auto" w:sz="4" w:space="0"/>
            </w:tcBorders>
            <w:shd w:val="clear" w:color="auto" w:fill="auto"/>
            <w:vAlign w:val="center"/>
          </w:tcPr>
          <w:p w14:paraId="09CDC36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w:t>
            </w:r>
          </w:p>
        </w:tc>
        <w:tc>
          <w:tcPr>
            <w:tcW w:w="732" w:type="dxa"/>
            <w:tcBorders>
              <w:top w:val="nil"/>
              <w:left w:val="nil"/>
              <w:bottom w:val="single" w:color="auto" w:sz="4" w:space="0"/>
              <w:right w:val="single" w:color="auto" w:sz="4" w:space="0"/>
            </w:tcBorders>
            <w:shd w:val="clear" w:color="auto" w:fill="auto"/>
            <w:vAlign w:val="center"/>
          </w:tcPr>
          <w:p w14:paraId="65E5F66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B3D752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502E7EE">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综合治理长度5公里。新建防洪堤总长3.724公里，设计标准20年一遇。保护学校师生300人和曲登村66户426人的生命财产安全和300亩耕地、200亩草地安全</w:t>
            </w:r>
          </w:p>
        </w:tc>
        <w:tc>
          <w:tcPr>
            <w:tcW w:w="932" w:type="dxa"/>
            <w:tcBorders>
              <w:top w:val="nil"/>
              <w:left w:val="nil"/>
              <w:bottom w:val="single" w:color="auto" w:sz="4" w:space="0"/>
              <w:right w:val="single" w:color="auto" w:sz="4" w:space="0"/>
            </w:tcBorders>
            <w:shd w:val="clear" w:color="auto" w:fill="auto"/>
            <w:vAlign w:val="center"/>
          </w:tcPr>
          <w:p w14:paraId="65D8E00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0105A3B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7EF2DC3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0DF37F1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2108</w:t>
            </w:r>
          </w:p>
        </w:tc>
        <w:tc>
          <w:tcPr>
            <w:tcW w:w="1196" w:type="dxa"/>
            <w:tcBorders>
              <w:top w:val="nil"/>
              <w:left w:val="nil"/>
              <w:bottom w:val="single" w:color="auto" w:sz="4" w:space="0"/>
              <w:right w:val="single" w:color="auto" w:sz="4" w:space="0"/>
            </w:tcBorders>
            <w:shd w:val="clear" w:color="auto" w:fill="auto"/>
            <w:vAlign w:val="center"/>
          </w:tcPr>
          <w:p w14:paraId="42C5866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2108</w:t>
            </w:r>
          </w:p>
        </w:tc>
        <w:tc>
          <w:tcPr>
            <w:tcW w:w="658" w:type="dxa"/>
            <w:tcBorders>
              <w:top w:val="nil"/>
              <w:left w:val="nil"/>
              <w:bottom w:val="single" w:color="auto" w:sz="4" w:space="0"/>
              <w:right w:val="single" w:color="auto" w:sz="4" w:space="0"/>
            </w:tcBorders>
            <w:shd w:val="clear" w:color="auto" w:fill="auto"/>
            <w:vAlign w:val="center"/>
          </w:tcPr>
          <w:p w14:paraId="462B9F44">
            <w:pPr>
              <w:widowControl/>
              <w:spacing w:line="240" w:lineRule="exact"/>
              <w:jc w:val="center"/>
              <w:rPr>
                <w:rFonts w:hint="eastAsia" w:ascii="仿宋_GB2312" w:hAnsi="仿宋_GB2312" w:eastAsia="仿宋_GB2312" w:cs="仿宋_GB2312"/>
                <w:color w:val="auto"/>
                <w:kern w:val="0"/>
                <w:sz w:val="20"/>
                <w:szCs w:val="20"/>
              </w:rPr>
            </w:pPr>
          </w:p>
        </w:tc>
      </w:tr>
      <w:tr w14:paraId="7DB26C72">
        <w:tblPrEx>
          <w:tblCellMar>
            <w:top w:w="0" w:type="dxa"/>
            <w:left w:w="51" w:type="dxa"/>
            <w:bottom w:w="0" w:type="dxa"/>
            <w:right w:w="51" w:type="dxa"/>
          </w:tblCellMar>
        </w:tblPrEx>
        <w:trPr>
          <w:trHeight w:val="135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6B4995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2-2-4</w:t>
            </w:r>
          </w:p>
        </w:tc>
        <w:tc>
          <w:tcPr>
            <w:tcW w:w="2069" w:type="dxa"/>
            <w:tcBorders>
              <w:top w:val="nil"/>
              <w:left w:val="nil"/>
              <w:bottom w:val="single" w:color="auto" w:sz="4" w:space="0"/>
              <w:right w:val="single" w:color="auto" w:sz="4" w:space="0"/>
            </w:tcBorders>
            <w:shd w:val="clear" w:color="auto" w:fill="auto"/>
            <w:vAlign w:val="center"/>
          </w:tcPr>
          <w:p w14:paraId="23427F8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洛隆县康沙曲上游玉西乡段防洪堤工程</w:t>
            </w:r>
          </w:p>
        </w:tc>
        <w:tc>
          <w:tcPr>
            <w:tcW w:w="932" w:type="dxa"/>
            <w:tcBorders>
              <w:top w:val="nil"/>
              <w:left w:val="nil"/>
              <w:bottom w:val="single" w:color="auto" w:sz="4" w:space="0"/>
              <w:right w:val="single" w:color="auto" w:sz="4" w:space="0"/>
            </w:tcBorders>
            <w:shd w:val="clear" w:color="auto" w:fill="auto"/>
            <w:vAlign w:val="center"/>
          </w:tcPr>
          <w:p w14:paraId="34231D3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7B5E17A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9C03CF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1603D6D">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综合治理长度3.51公里。新建防洪堤总长3513.47</w:t>
            </w:r>
            <w:r>
              <w:rPr>
                <w:rFonts w:hint="eastAsia" w:ascii="仿宋_GB2312" w:hAnsi="仿宋_GB2312" w:eastAsia="仿宋_GB2312" w:cs="仿宋_GB2312"/>
                <w:color w:val="auto"/>
                <w:kern w:val="0"/>
                <w:sz w:val="20"/>
                <w:szCs w:val="20"/>
                <w:lang w:eastAsia="zh-CN"/>
              </w:rPr>
              <w:t>米，</w:t>
            </w:r>
            <w:r>
              <w:rPr>
                <w:rFonts w:hint="eastAsia" w:ascii="仿宋_GB2312" w:hAnsi="仿宋_GB2312" w:eastAsia="仿宋_GB2312" w:cs="仿宋_GB2312"/>
                <w:color w:val="auto"/>
                <w:kern w:val="0"/>
                <w:sz w:val="20"/>
                <w:szCs w:val="20"/>
              </w:rPr>
              <w:t>新建下河梯步7处，排水涵洞4座，排水涵管4处，设计标准为20年一遇，保护450人的财产安全和保护耕地200亩</w:t>
            </w:r>
          </w:p>
        </w:tc>
        <w:tc>
          <w:tcPr>
            <w:tcW w:w="932" w:type="dxa"/>
            <w:tcBorders>
              <w:top w:val="nil"/>
              <w:left w:val="nil"/>
              <w:bottom w:val="single" w:color="auto" w:sz="4" w:space="0"/>
              <w:right w:val="single" w:color="auto" w:sz="4" w:space="0"/>
            </w:tcBorders>
            <w:shd w:val="clear" w:color="auto" w:fill="auto"/>
            <w:vAlign w:val="center"/>
          </w:tcPr>
          <w:p w14:paraId="21FFB9B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024C618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42AA0C8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E65CE8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1040</w:t>
            </w:r>
          </w:p>
        </w:tc>
        <w:tc>
          <w:tcPr>
            <w:tcW w:w="1196" w:type="dxa"/>
            <w:tcBorders>
              <w:top w:val="nil"/>
              <w:left w:val="nil"/>
              <w:bottom w:val="single" w:color="auto" w:sz="4" w:space="0"/>
              <w:right w:val="single" w:color="auto" w:sz="4" w:space="0"/>
            </w:tcBorders>
            <w:shd w:val="clear" w:color="auto" w:fill="auto"/>
            <w:vAlign w:val="center"/>
          </w:tcPr>
          <w:p w14:paraId="01BCF83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1040</w:t>
            </w:r>
          </w:p>
        </w:tc>
        <w:tc>
          <w:tcPr>
            <w:tcW w:w="658" w:type="dxa"/>
            <w:tcBorders>
              <w:top w:val="nil"/>
              <w:left w:val="nil"/>
              <w:bottom w:val="single" w:color="auto" w:sz="4" w:space="0"/>
              <w:right w:val="single" w:color="auto" w:sz="4" w:space="0"/>
            </w:tcBorders>
            <w:shd w:val="clear" w:color="auto" w:fill="auto"/>
            <w:vAlign w:val="center"/>
          </w:tcPr>
          <w:p w14:paraId="1938CB56">
            <w:pPr>
              <w:widowControl/>
              <w:spacing w:line="240" w:lineRule="exact"/>
              <w:jc w:val="center"/>
              <w:rPr>
                <w:rFonts w:hint="eastAsia" w:ascii="仿宋_GB2312" w:hAnsi="仿宋_GB2312" w:eastAsia="仿宋_GB2312" w:cs="仿宋_GB2312"/>
                <w:color w:val="auto"/>
                <w:kern w:val="0"/>
                <w:sz w:val="20"/>
                <w:szCs w:val="20"/>
              </w:rPr>
            </w:pPr>
          </w:p>
        </w:tc>
      </w:tr>
      <w:tr w14:paraId="0ADC7176">
        <w:tblPrEx>
          <w:tblCellMar>
            <w:top w:w="0" w:type="dxa"/>
            <w:left w:w="51" w:type="dxa"/>
            <w:bottom w:w="0" w:type="dxa"/>
            <w:right w:w="51" w:type="dxa"/>
          </w:tblCellMar>
        </w:tblPrEx>
        <w:trPr>
          <w:trHeight w:val="87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84E28D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2-2-5</w:t>
            </w:r>
          </w:p>
        </w:tc>
        <w:tc>
          <w:tcPr>
            <w:tcW w:w="2069" w:type="dxa"/>
            <w:tcBorders>
              <w:top w:val="nil"/>
              <w:left w:val="nil"/>
              <w:bottom w:val="single" w:color="auto" w:sz="4" w:space="0"/>
              <w:right w:val="single" w:color="auto" w:sz="4" w:space="0"/>
            </w:tcBorders>
            <w:shd w:val="clear" w:color="auto" w:fill="auto"/>
            <w:vAlign w:val="center"/>
          </w:tcPr>
          <w:p w14:paraId="442285C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洛隆县马曲拥马利镇布许沟段防洪工程</w:t>
            </w:r>
          </w:p>
        </w:tc>
        <w:tc>
          <w:tcPr>
            <w:tcW w:w="932" w:type="dxa"/>
            <w:tcBorders>
              <w:top w:val="nil"/>
              <w:left w:val="nil"/>
              <w:bottom w:val="single" w:color="auto" w:sz="4" w:space="0"/>
              <w:right w:val="single" w:color="auto" w:sz="4" w:space="0"/>
            </w:tcBorders>
            <w:shd w:val="clear" w:color="auto" w:fill="auto"/>
            <w:vAlign w:val="center"/>
          </w:tcPr>
          <w:p w14:paraId="511D7C1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5FE4A63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43D8021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5D374827">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综合治理长度4.15公里。堤防长度4.15</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，5级堤防，设计标准10年一遇。保护717人的财产安全</w:t>
            </w:r>
          </w:p>
        </w:tc>
        <w:tc>
          <w:tcPr>
            <w:tcW w:w="932" w:type="dxa"/>
            <w:tcBorders>
              <w:top w:val="nil"/>
              <w:left w:val="nil"/>
              <w:bottom w:val="single" w:color="auto" w:sz="4" w:space="0"/>
              <w:right w:val="single" w:color="auto" w:sz="4" w:space="0"/>
            </w:tcBorders>
            <w:shd w:val="clear" w:color="auto" w:fill="auto"/>
            <w:vAlign w:val="center"/>
          </w:tcPr>
          <w:p w14:paraId="7277A72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66712A8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2C2557A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426D364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1098</w:t>
            </w:r>
          </w:p>
        </w:tc>
        <w:tc>
          <w:tcPr>
            <w:tcW w:w="1196" w:type="dxa"/>
            <w:tcBorders>
              <w:top w:val="nil"/>
              <w:left w:val="nil"/>
              <w:bottom w:val="single" w:color="auto" w:sz="4" w:space="0"/>
              <w:right w:val="single" w:color="auto" w:sz="4" w:space="0"/>
            </w:tcBorders>
            <w:shd w:val="clear" w:color="auto" w:fill="auto"/>
            <w:vAlign w:val="center"/>
          </w:tcPr>
          <w:p w14:paraId="0A67195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1098</w:t>
            </w:r>
          </w:p>
        </w:tc>
        <w:tc>
          <w:tcPr>
            <w:tcW w:w="658" w:type="dxa"/>
            <w:tcBorders>
              <w:top w:val="nil"/>
              <w:left w:val="nil"/>
              <w:bottom w:val="single" w:color="auto" w:sz="4" w:space="0"/>
              <w:right w:val="single" w:color="auto" w:sz="4" w:space="0"/>
            </w:tcBorders>
            <w:shd w:val="clear" w:color="auto" w:fill="auto"/>
            <w:vAlign w:val="center"/>
          </w:tcPr>
          <w:p w14:paraId="215E008A">
            <w:pPr>
              <w:widowControl/>
              <w:spacing w:line="240" w:lineRule="exact"/>
              <w:jc w:val="center"/>
              <w:rPr>
                <w:rFonts w:hint="eastAsia" w:ascii="仿宋_GB2312" w:hAnsi="仿宋_GB2312" w:eastAsia="仿宋_GB2312" w:cs="仿宋_GB2312"/>
                <w:color w:val="auto"/>
                <w:kern w:val="0"/>
                <w:sz w:val="20"/>
                <w:szCs w:val="20"/>
              </w:rPr>
            </w:pPr>
          </w:p>
        </w:tc>
      </w:tr>
      <w:tr w14:paraId="6B30689B">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9B8C47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2-2-6</w:t>
            </w:r>
          </w:p>
        </w:tc>
        <w:tc>
          <w:tcPr>
            <w:tcW w:w="2069" w:type="dxa"/>
            <w:tcBorders>
              <w:top w:val="nil"/>
              <w:left w:val="nil"/>
              <w:bottom w:val="single" w:color="auto" w:sz="4" w:space="0"/>
              <w:right w:val="single" w:color="auto" w:sz="4" w:space="0"/>
            </w:tcBorders>
            <w:shd w:val="clear" w:color="auto" w:fill="auto"/>
            <w:vAlign w:val="center"/>
          </w:tcPr>
          <w:p w14:paraId="1E2AAF8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丁青县打曲上游沙贡乡河道治理工程</w:t>
            </w:r>
          </w:p>
        </w:tc>
        <w:tc>
          <w:tcPr>
            <w:tcW w:w="932" w:type="dxa"/>
            <w:tcBorders>
              <w:top w:val="nil"/>
              <w:left w:val="nil"/>
              <w:bottom w:val="single" w:color="auto" w:sz="4" w:space="0"/>
              <w:right w:val="single" w:color="auto" w:sz="4" w:space="0"/>
            </w:tcBorders>
            <w:shd w:val="clear" w:color="auto" w:fill="auto"/>
            <w:vAlign w:val="center"/>
          </w:tcPr>
          <w:p w14:paraId="5DA5C8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丁青县</w:t>
            </w:r>
          </w:p>
        </w:tc>
        <w:tc>
          <w:tcPr>
            <w:tcW w:w="732" w:type="dxa"/>
            <w:tcBorders>
              <w:top w:val="nil"/>
              <w:left w:val="nil"/>
              <w:bottom w:val="single" w:color="auto" w:sz="4" w:space="0"/>
              <w:right w:val="single" w:color="auto" w:sz="4" w:space="0"/>
            </w:tcBorders>
            <w:shd w:val="clear" w:color="auto" w:fill="auto"/>
            <w:vAlign w:val="center"/>
          </w:tcPr>
          <w:p w14:paraId="60A0CB3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83D93C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7613FF41">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综合治理长度5.792公里。堤防长度5.792公里，5级堤防，防洪标准10年一遇，工程建设后可保护耕地65.31亩</w:t>
            </w:r>
          </w:p>
        </w:tc>
        <w:tc>
          <w:tcPr>
            <w:tcW w:w="932" w:type="dxa"/>
            <w:tcBorders>
              <w:top w:val="nil"/>
              <w:left w:val="nil"/>
              <w:bottom w:val="single" w:color="auto" w:sz="4" w:space="0"/>
              <w:right w:val="single" w:color="auto" w:sz="4" w:space="0"/>
            </w:tcBorders>
            <w:shd w:val="clear" w:color="auto" w:fill="auto"/>
            <w:vAlign w:val="center"/>
          </w:tcPr>
          <w:p w14:paraId="6890518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160502A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27A8912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7E18B78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1505</w:t>
            </w:r>
          </w:p>
        </w:tc>
        <w:tc>
          <w:tcPr>
            <w:tcW w:w="1196" w:type="dxa"/>
            <w:tcBorders>
              <w:top w:val="nil"/>
              <w:left w:val="nil"/>
              <w:bottom w:val="single" w:color="auto" w:sz="4" w:space="0"/>
              <w:right w:val="single" w:color="auto" w:sz="4" w:space="0"/>
            </w:tcBorders>
            <w:shd w:val="clear" w:color="auto" w:fill="auto"/>
            <w:vAlign w:val="center"/>
          </w:tcPr>
          <w:p w14:paraId="74FB4F0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1505</w:t>
            </w:r>
          </w:p>
        </w:tc>
        <w:tc>
          <w:tcPr>
            <w:tcW w:w="658" w:type="dxa"/>
            <w:tcBorders>
              <w:top w:val="nil"/>
              <w:left w:val="nil"/>
              <w:bottom w:val="single" w:color="auto" w:sz="4" w:space="0"/>
              <w:right w:val="single" w:color="auto" w:sz="4" w:space="0"/>
            </w:tcBorders>
            <w:shd w:val="clear" w:color="auto" w:fill="auto"/>
            <w:vAlign w:val="center"/>
          </w:tcPr>
          <w:p w14:paraId="1EB3AEDE">
            <w:pPr>
              <w:widowControl/>
              <w:spacing w:line="240" w:lineRule="exact"/>
              <w:jc w:val="center"/>
              <w:rPr>
                <w:rFonts w:hint="eastAsia" w:ascii="仿宋_GB2312" w:hAnsi="仿宋_GB2312" w:eastAsia="仿宋_GB2312" w:cs="仿宋_GB2312"/>
                <w:color w:val="auto"/>
                <w:kern w:val="0"/>
                <w:sz w:val="20"/>
                <w:szCs w:val="20"/>
              </w:rPr>
            </w:pPr>
          </w:p>
        </w:tc>
      </w:tr>
      <w:tr w14:paraId="2C8574AB">
        <w:tblPrEx>
          <w:tblCellMar>
            <w:top w:w="0" w:type="dxa"/>
            <w:left w:w="51" w:type="dxa"/>
            <w:bottom w:w="0" w:type="dxa"/>
            <w:right w:w="51" w:type="dxa"/>
          </w:tblCellMar>
        </w:tblPrEx>
        <w:trPr>
          <w:trHeight w:val="234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770138F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2-2-7</w:t>
            </w:r>
          </w:p>
        </w:tc>
        <w:tc>
          <w:tcPr>
            <w:tcW w:w="2069" w:type="dxa"/>
            <w:tcBorders>
              <w:top w:val="nil"/>
              <w:left w:val="nil"/>
              <w:bottom w:val="single" w:color="auto" w:sz="4" w:space="0"/>
              <w:right w:val="single" w:color="auto" w:sz="4" w:space="0"/>
            </w:tcBorders>
            <w:shd w:val="clear" w:color="auto" w:fill="auto"/>
            <w:vAlign w:val="center"/>
          </w:tcPr>
          <w:p w14:paraId="35EABE1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类乌齐县恩达曲伊日乡段防洪堤工程</w:t>
            </w:r>
          </w:p>
        </w:tc>
        <w:tc>
          <w:tcPr>
            <w:tcW w:w="932" w:type="dxa"/>
            <w:tcBorders>
              <w:top w:val="nil"/>
              <w:left w:val="nil"/>
              <w:bottom w:val="single" w:color="auto" w:sz="4" w:space="0"/>
              <w:right w:val="single" w:color="auto" w:sz="4" w:space="0"/>
            </w:tcBorders>
            <w:shd w:val="clear" w:color="auto" w:fill="auto"/>
            <w:vAlign w:val="center"/>
          </w:tcPr>
          <w:p w14:paraId="4BD9D4C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w:t>
            </w:r>
          </w:p>
        </w:tc>
        <w:tc>
          <w:tcPr>
            <w:tcW w:w="732" w:type="dxa"/>
            <w:tcBorders>
              <w:top w:val="nil"/>
              <w:left w:val="nil"/>
              <w:bottom w:val="single" w:color="auto" w:sz="4" w:space="0"/>
              <w:right w:val="single" w:color="auto" w:sz="4" w:space="0"/>
            </w:tcBorders>
            <w:shd w:val="clear" w:color="auto" w:fill="auto"/>
            <w:vAlign w:val="center"/>
          </w:tcPr>
          <w:p w14:paraId="2483964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5B9FBB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839784E">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4103.93米，新建防洪堤3419.94米，下河梯步4处，排水涵管3座，排水涵洞1座，5级堤防，防洪标准10年一遇。主要保护伊日乡新规划区及帮日村40户、人口约460人，草场近100亩、耕地近50亩保护区面积约0.179</w:t>
            </w:r>
            <w:r>
              <w:rPr>
                <w:rFonts w:hint="eastAsia" w:ascii="仿宋_GB2312" w:hAnsi="仿宋_GB2312" w:eastAsia="仿宋_GB2312" w:cs="仿宋_GB2312"/>
                <w:color w:val="auto"/>
                <w:kern w:val="0"/>
                <w:sz w:val="20"/>
                <w:szCs w:val="20"/>
                <w:lang w:eastAsia="zh-CN"/>
              </w:rPr>
              <w:t>平方公里</w:t>
            </w:r>
            <w:r>
              <w:rPr>
                <w:rFonts w:hint="eastAsia" w:ascii="仿宋_GB2312" w:hAnsi="仿宋_GB2312" w:eastAsia="仿宋_GB2312" w:cs="仿宋_GB2312"/>
                <w:color w:val="auto"/>
                <w:kern w:val="0"/>
                <w:sz w:val="20"/>
                <w:szCs w:val="20"/>
              </w:rPr>
              <w:t>；保护区域内73亩的水土流失面积</w:t>
            </w:r>
          </w:p>
        </w:tc>
        <w:tc>
          <w:tcPr>
            <w:tcW w:w="932" w:type="dxa"/>
            <w:tcBorders>
              <w:top w:val="nil"/>
              <w:left w:val="nil"/>
              <w:bottom w:val="single" w:color="auto" w:sz="4" w:space="0"/>
              <w:right w:val="single" w:color="auto" w:sz="4" w:space="0"/>
            </w:tcBorders>
            <w:shd w:val="clear" w:color="auto" w:fill="auto"/>
            <w:vAlign w:val="center"/>
          </w:tcPr>
          <w:p w14:paraId="08D193C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36C9DA4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52A6129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7E6AAC2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1108</w:t>
            </w:r>
          </w:p>
        </w:tc>
        <w:tc>
          <w:tcPr>
            <w:tcW w:w="1196" w:type="dxa"/>
            <w:tcBorders>
              <w:top w:val="nil"/>
              <w:left w:val="nil"/>
              <w:bottom w:val="single" w:color="auto" w:sz="4" w:space="0"/>
              <w:right w:val="single" w:color="auto" w:sz="4" w:space="0"/>
            </w:tcBorders>
            <w:shd w:val="clear" w:color="auto" w:fill="auto"/>
            <w:vAlign w:val="center"/>
          </w:tcPr>
          <w:p w14:paraId="7632EF5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1108</w:t>
            </w:r>
          </w:p>
        </w:tc>
        <w:tc>
          <w:tcPr>
            <w:tcW w:w="658" w:type="dxa"/>
            <w:tcBorders>
              <w:top w:val="nil"/>
              <w:left w:val="nil"/>
              <w:bottom w:val="single" w:color="auto" w:sz="4" w:space="0"/>
              <w:right w:val="single" w:color="auto" w:sz="4" w:space="0"/>
            </w:tcBorders>
            <w:shd w:val="clear" w:color="auto" w:fill="auto"/>
            <w:vAlign w:val="center"/>
          </w:tcPr>
          <w:p w14:paraId="44670099">
            <w:pPr>
              <w:widowControl/>
              <w:spacing w:line="240" w:lineRule="exact"/>
              <w:jc w:val="center"/>
              <w:rPr>
                <w:rFonts w:hint="eastAsia" w:ascii="仿宋_GB2312" w:hAnsi="仿宋_GB2312" w:eastAsia="仿宋_GB2312" w:cs="仿宋_GB2312"/>
                <w:color w:val="auto"/>
                <w:kern w:val="0"/>
                <w:sz w:val="20"/>
                <w:szCs w:val="20"/>
              </w:rPr>
            </w:pPr>
          </w:p>
        </w:tc>
      </w:tr>
      <w:tr w14:paraId="6E651D2E">
        <w:tblPrEx>
          <w:tblCellMar>
            <w:top w:w="0" w:type="dxa"/>
            <w:left w:w="51" w:type="dxa"/>
            <w:bottom w:w="0" w:type="dxa"/>
            <w:right w:w="51" w:type="dxa"/>
          </w:tblCellMar>
        </w:tblPrEx>
        <w:trPr>
          <w:trHeight w:val="213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8F94C5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2-2-8</w:t>
            </w:r>
          </w:p>
        </w:tc>
        <w:tc>
          <w:tcPr>
            <w:tcW w:w="2069" w:type="dxa"/>
            <w:tcBorders>
              <w:top w:val="nil"/>
              <w:left w:val="nil"/>
              <w:bottom w:val="single" w:color="auto" w:sz="4" w:space="0"/>
              <w:right w:val="single" w:color="auto" w:sz="4" w:space="0"/>
            </w:tcBorders>
            <w:shd w:val="clear" w:color="auto" w:fill="auto"/>
            <w:vAlign w:val="center"/>
          </w:tcPr>
          <w:p w14:paraId="30B242C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江达县娘西乡山岩村防洪工程</w:t>
            </w:r>
          </w:p>
        </w:tc>
        <w:tc>
          <w:tcPr>
            <w:tcW w:w="932" w:type="dxa"/>
            <w:tcBorders>
              <w:top w:val="nil"/>
              <w:left w:val="nil"/>
              <w:bottom w:val="single" w:color="auto" w:sz="4" w:space="0"/>
              <w:right w:val="single" w:color="auto" w:sz="4" w:space="0"/>
            </w:tcBorders>
            <w:shd w:val="clear" w:color="auto" w:fill="auto"/>
            <w:vAlign w:val="center"/>
          </w:tcPr>
          <w:p w14:paraId="0873610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0E2BBC6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5BAB46F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026D81BC">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综合治理河道长度4.15</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，新建堤防总长1.436</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、护岸长1.468</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，新建下河梯步6座。该工程建成后可</w:t>
            </w:r>
            <w:r>
              <w:rPr>
                <w:rFonts w:hint="eastAsia" w:ascii="仿宋_GB2312" w:hAnsi="仿宋_GB2312" w:eastAsia="仿宋_GB2312" w:cs="仿宋_GB2312"/>
                <w:color w:val="auto"/>
                <w:kern w:val="0"/>
                <w:sz w:val="20"/>
                <w:szCs w:val="20"/>
                <w:lang w:eastAsia="zh-CN"/>
              </w:rPr>
              <w:t>有效地保护</w:t>
            </w:r>
            <w:r>
              <w:rPr>
                <w:rFonts w:hint="eastAsia" w:ascii="仿宋_GB2312" w:hAnsi="仿宋_GB2312" w:eastAsia="仿宋_GB2312" w:cs="仿宋_GB2312"/>
                <w:color w:val="auto"/>
                <w:kern w:val="0"/>
                <w:sz w:val="20"/>
                <w:szCs w:val="20"/>
              </w:rPr>
              <w:t>江达县娘西乡乡政府、小学、派出所、卫生院、</w:t>
            </w:r>
            <w:r>
              <w:rPr>
                <w:rFonts w:hint="eastAsia" w:ascii="仿宋_GB2312" w:hAnsi="仿宋_GB2312" w:eastAsia="仿宋_GB2312" w:cs="仿宋_GB2312"/>
                <w:color w:val="auto"/>
                <w:kern w:val="0"/>
                <w:sz w:val="20"/>
                <w:szCs w:val="20"/>
                <w:lang w:val="en-US" w:eastAsia="zh-CN"/>
              </w:rPr>
              <w:t>易</w:t>
            </w:r>
            <w:r>
              <w:rPr>
                <w:rFonts w:hint="eastAsia" w:ascii="仿宋_GB2312" w:hAnsi="仿宋_GB2312" w:eastAsia="仿宋_GB2312" w:cs="仿宋_GB2312"/>
                <w:color w:val="auto"/>
                <w:kern w:val="0"/>
                <w:sz w:val="20"/>
                <w:szCs w:val="20"/>
              </w:rPr>
              <w:t>地搬迁点以及根普寺寺管会，共计709人的日常生活及生命财产安全以及91.8亩草场</w:t>
            </w:r>
          </w:p>
        </w:tc>
        <w:tc>
          <w:tcPr>
            <w:tcW w:w="932" w:type="dxa"/>
            <w:tcBorders>
              <w:top w:val="nil"/>
              <w:left w:val="nil"/>
              <w:bottom w:val="single" w:color="auto" w:sz="4" w:space="0"/>
              <w:right w:val="single" w:color="auto" w:sz="4" w:space="0"/>
            </w:tcBorders>
            <w:shd w:val="clear" w:color="auto" w:fill="auto"/>
            <w:vAlign w:val="center"/>
          </w:tcPr>
          <w:p w14:paraId="3D41E2D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3213A42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7F0996C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2B600D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918</w:t>
            </w:r>
          </w:p>
        </w:tc>
        <w:tc>
          <w:tcPr>
            <w:tcW w:w="1196" w:type="dxa"/>
            <w:tcBorders>
              <w:top w:val="nil"/>
              <w:left w:val="nil"/>
              <w:bottom w:val="single" w:color="auto" w:sz="4" w:space="0"/>
              <w:right w:val="single" w:color="auto" w:sz="4" w:space="0"/>
            </w:tcBorders>
            <w:shd w:val="clear" w:color="auto" w:fill="auto"/>
            <w:vAlign w:val="center"/>
          </w:tcPr>
          <w:p w14:paraId="4D96953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918</w:t>
            </w:r>
          </w:p>
        </w:tc>
        <w:tc>
          <w:tcPr>
            <w:tcW w:w="658" w:type="dxa"/>
            <w:tcBorders>
              <w:top w:val="nil"/>
              <w:left w:val="nil"/>
              <w:bottom w:val="single" w:color="auto" w:sz="4" w:space="0"/>
              <w:right w:val="single" w:color="auto" w:sz="4" w:space="0"/>
            </w:tcBorders>
            <w:shd w:val="clear" w:color="auto" w:fill="auto"/>
            <w:vAlign w:val="center"/>
          </w:tcPr>
          <w:p w14:paraId="57548F3D">
            <w:pPr>
              <w:widowControl/>
              <w:spacing w:line="240" w:lineRule="exact"/>
              <w:jc w:val="center"/>
              <w:rPr>
                <w:rFonts w:hint="eastAsia" w:ascii="仿宋_GB2312" w:hAnsi="仿宋_GB2312" w:eastAsia="仿宋_GB2312" w:cs="仿宋_GB2312"/>
                <w:color w:val="auto"/>
                <w:kern w:val="0"/>
                <w:sz w:val="20"/>
                <w:szCs w:val="20"/>
              </w:rPr>
            </w:pPr>
          </w:p>
        </w:tc>
      </w:tr>
      <w:tr w14:paraId="12A28502">
        <w:tblPrEx>
          <w:tblCellMar>
            <w:top w:w="0" w:type="dxa"/>
            <w:left w:w="51" w:type="dxa"/>
            <w:bottom w:w="0" w:type="dxa"/>
            <w:right w:w="51" w:type="dxa"/>
          </w:tblCellMar>
        </w:tblPrEx>
        <w:trPr>
          <w:trHeight w:val="253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E4BE38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2-2-9</w:t>
            </w:r>
          </w:p>
        </w:tc>
        <w:tc>
          <w:tcPr>
            <w:tcW w:w="2069" w:type="dxa"/>
            <w:tcBorders>
              <w:top w:val="nil"/>
              <w:left w:val="nil"/>
              <w:bottom w:val="single" w:color="auto" w:sz="4" w:space="0"/>
              <w:right w:val="single" w:color="auto" w:sz="4" w:space="0"/>
            </w:tcBorders>
            <w:shd w:val="clear" w:color="auto" w:fill="auto"/>
            <w:vAlign w:val="center"/>
          </w:tcPr>
          <w:p w14:paraId="36E8740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江达县代仁弄曲河道治理工程</w:t>
            </w:r>
          </w:p>
        </w:tc>
        <w:tc>
          <w:tcPr>
            <w:tcW w:w="932" w:type="dxa"/>
            <w:tcBorders>
              <w:top w:val="nil"/>
              <w:left w:val="nil"/>
              <w:bottom w:val="single" w:color="auto" w:sz="4" w:space="0"/>
              <w:right w:val="single" w:color="auto" w:sz="4" w:space="0"/>
            </w:tcBorders>
            <w:shd w:val="clear" w:color="auto" w:fill="auto"/>
            <w:vAlign w:val="center"/>
          </w:tcPr>
          <w:p w14:paraId="57EC5D3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3FC6CC7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10E17B6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1EDBC21B">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综合治理河道长度为8</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，新建堤防总长度为5.24</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穿堤建筑物21座，其中下河踏步10座，穿堤排水涵管11座。该工程建成后，保护代仁弄曲（玛曲）巴龙村上游段、巴龙村下游段、沙嘎电站段、直巴村段两岸的村庄、耕地和草地免受洪水威胁，并防止水土流失。共保护63户265人，耕地1370亩的安全</w:t>
            </w:r>
          </w:p>
        </w:tc>
        <w:tc>
          <w:tcPr>
            <w:tcW w:w="932" w:type="dxa"/>
            <w:tcBorders>
              <w:top w:val="nil"/>
              <w:left w:val="nil"/>
              <w:bottom w:val="single" w:color="auto" w:sz="4" w:space="0"/>
              <w:right w:val="single" w:color="auto" w:sz="4" w:space="0"/>
            </w:tcBorders>
            <w:shd w:val="clear" w:color="auto" w:fill="auto"/>
            <w:vAlign w:val="center"/>
          </w:tcPr>
          <w:p w14:paraId="2E0B882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24B3A07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12434C4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30B9E0A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1576</w:t>
            </w:r>
          </w:p>
        </w:tc>
        <w:tc>
          <w:tcPr>
            <w:tcW w:w="1196" w:type="dxa"/>
            <w:tcBorders>
              <w:top w:val="nil"/>
              <w:left w:val="nil"/>
              <w:bottom w:val="single" w:color="auto" w:sz="4" w:space="0"/>
              <w:right w:val="single" w:color="auto" w:sz="4" w:space="0"/>
            </w:tcBorders>
            <w:shd w:val="clear" w:color="auto" w:fill="auto"/>
            <w:vAlign w:val="center"/>
          </w:tcPr>
          <w:p w14:paraId="1A5CCD3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1576</w:t>
            </w:r>
          </w:p>
        </w:tc>
        <w:tc>
          <w:tcPr>
            <w:tcW w:w="658" w:type="dxa"/>
            <w:tcBorders>
              <w:top w:val="nil"/>
              <w:left w:val="nil"/>
              <w:bottom w:val="single" w:color="auto" w:sz="4" w:space="0"/>
              <w:right w:val="single" w:color="auto" w:sz="4" w:space="0"/>
            </w:tcBorders>
            <w:shd w:val="clear" w:color="auto" w:fill="auto"/>
            <w:vAlign w:val="center"/>
          </w:tcPr>
          <w:p w14:paraId="76EFF364">
            <w:pPr>
              <w:widowControl/>
              <w:spacing w:line="240" w:lineRule="exact"/>
              <w:jc w:val="center"/>
              <w:rPr>
                <w:rFonts w:hint="eastAsia" w:ascii="仿宋_GB2312" w:hAnsi="仿宋_GB2312" w:eastAsia="仿宋_GB2312" w:cs="仿宋_GB2312"/>
                <w:color w:val="auto"/>
                <w:kern w:val="0"/>
                <w:sz w:val="20"/>
                <w:szCs w:val="20"/>
              </w:rPr>
            </w:pPr>
          </w:p>
        </w:tc>
      </w:tr>
      <w:tr w14:paraId="51675C85">
        <w:tblPrEx>
          <w:tblCellMar>
            <w:top w:w="0" w:type="dxa"/>
            <w:left w:w="51" w:type="dxa"/>
            <w:bottom w:w="0" w:type="dxa"/>
            <w:right w:w="51" w:type="dxa"/>
          </w:tblCellMar>
        </w:tblPrEx>
        <w:trPr>
          <w:trHeight w:val="127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97C3D6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2-2-10</w:t>
            </w:r>
          </w:p>
        </w:tc>
        <w:tc>
          <w:tcPr>
            <w:tcW w:w="2069" w:type="dxa"/>
            <w:tcBorders>
              <w:top w:val="nil"/>
              <w:left w:val="nil"/>
              <w:bottom w:val="single" w:color="auto" w:sz="4" w:space="0"/>
              <w:right w:val="single" w:color="auto" w:sz="4" w:space="0"/>
            </w:tcBorders>
            <w:shd w:val="clear" w:color="auto" w:fill="auto"/>
            <w:vAlign w:val="center"/>
          </w:tcPr>
          <w:p w14:paraId="62ACE86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边坝县脚弄嘎都瓦乡防洪堤工程</w:t>
            </w:r>
          </w:p>
        </w:tc>
        <w:tc>
          <w:tcPr>
            <w:tcW w:w="932" w:type="dxa"/>
            <w:tcBorders>
              <w:top w:val="nil"/>
              <w:left w:val="nil"/>
              <w:bottom w:val="single" w:color="auto" w:sz="4" w:space="0"/>
              <w:right w:val="single" w:color="auto" w:sz="4" w:space="0"/>
            </w:tcBorders>
            <w:shd w:val="clear" w:color="auto" w:fill="auto"/>
            <w:vAlign w:val="center"/>
          </w:tcPr>
          <w:p w14:paraId="6B695E8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w:t>
            </w:r>
          </w:p>
        </w:tc>
        <w:tc>
          <w:tcPr>
            <w:tcW w:w="732" w:type="dxa"/>
            <w:tcBorders>
              <w:top w:val="nil"/>
              <w:left w:val="nil"/>
              <w:bottom w:val="single" w:color="auto" w:sz="4" w:space="0"/>
              <w:right w:val="single" w:color="auto" w:sz="4" w:space="0"/>
            </w:tcBorders>
            <w:shd w:val="clear" w:color="auto" w:fill="auto"/>
            <w:vAlign w:val="center"/>
          </w:tcPr>
          <w:p w14:paraId="6F1109F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18A0BAA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C412AF9">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综合治理长度2.72公里。新建堤防全长2716米，防洪标准10年一遇。保护草卡镇达根村、都瓦乡扎根村共计638人；保护耕地224亩、草地118亩</w:t>
            </w:r>
          </w:p>
        </w:tc>
        <w:tc>
          <w:tcPr>
            <w:tcW w:w="932" w:type="dxa"/>
            <w:tcBorders>
              <w:top w:val="nil"/>
              <w:left w:val="nil"/>
              <w:bottom w:val="single" w:color="auto" w:sz="4" w:space="0"/>
              <w:right w:val="single" w:color="auto" w:sz="4" w:space="0"/>
            </w:tcBorders>
            <w:shd w:val="clear" w:color="auto" w:fill="auto"/>
            <w:vAlign w:val="center"/>
          </w:tcPr>
          <w:p w14:paraId="22F77B2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59D97D5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1043" w:type="dxa"/>
            <w:tcBorders>
              <w:top w:val="nil"/>
              <w:left w:val="nil"/>
              <w:bottom w:val="single" w:color="auto" w:sz="4" w:space="0"/>
              <w:right w:val="single" w:color="auto" w:sz="4" w:space="0"/>
            </w:tcBorders>
            <w:shd w:val="clear" w:color="auto" w:fill="auto"/>
            <w:vAlign w:val="center"/>
          </w:tcPr>
          <w:p w14:paraId="35255D7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3F8A610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445</w:t>
            </w:r>
          </w:p>
        </w:tc>
        <w:tc>
          <w:tcPr>
            <w:tcW w:w="1196" w:type="dxa"/>
            <w:tcBorders>
              <w:top w:val="nil"/>
              <w:left w:val="nil"/>
              <w:bottom w:val="single" w:color="auto" w:sz="4" w:space="0"/>
              <w:right w:val="single" w:color="auto" w:sz="4" w:space="0"/>
            </w:tcBorders>
            <w:shd w:val="clear" w:color="auto" w:fill="auto"/>
            <w:vAlign w:val="center"/>
          </w:tcPr>
          <w:p w14:paraId="459105A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445</w:t>
            </w:r>
          </w:p>
        </w:tc>
        <w:tc>
          <w:tcPr>
            <w:tcW w:w="658" w:type="dxa"/>
            <w:tcBorders>
              <w:top w:val="nil"/>
              <w:left w:val="nil"/>
              <w:bottom w:val="single" w:color="auto" w:sz="4" w:space="0"/>
              <w:right w:val="single" w:color="auto" w:sz="4" w:space="0"/>
            </w:tcBorders>
            <w:shd w:val="clear" w:color="auto" w:fill="auto"/>
            <w:vAlign w:val="center"/>
          </w:tcPr>
          <w:p w14:paraId="20489933">
            <w:pPr>
              <w:widowControl/>
              <w:spacing w:line="240" w:lineRule="exact"/>
              <w:jc w:val="center"/>
              <w:rPr>
                <w:rFonts w:hint="eastAsia" w:ascii="仿宋_GB2312" w:hAnsi="仿宋_GB2312" w:eastAsia="仿宋_GB2312" w:cs="仿宋_GB2312"/>
                <w:color w:val="auto"/>
                <w:kern w:val="0"/>
                <w:sz w:val="20"/>
                <w:szCs w:val="20"/>
              </w:rPr>
            </w:pPr>
          </w:p>
        </w:tc>
      </w:tr>
      <w:tr w14:paraId="11BB57DA">
        <w:tblPrEx>
          <w:tblCellMar>
            <w:top w:w="0" w:type="dxa"/>
            <w:left w:w="51" w:type="dxa"/>
            <w:bottom w:w="0" w:type="dxa"/>
            <w:right w:w="51" w:type="dxa"/>
          </w:tblCellMar>
        </w:tblPrEx>
        <w:trPr>
          <w:trHeight w:val="129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DCE1FA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2-2-11</w:t>
            </w:r>
          </w:p>
        </w:tc>
        <w:tc>
          <w:tcPr>
            <w:tcW w:w="2069" w:type="dxa"/>
            <w:tcBorders>
              <w:top w:val="nil"/>
              <w:left w:val="nil"/>
              <w:bottom w:val="single" w:color="auto" w:sz="4" w:space="0"/>
              <w:right w:val="single" w:color="auto" w:sz="4" w:space="0"/>
            </w:tcBorders>
            <w:shd w:val="clear" w:color="auto" w:fill="auto"/>
            <w:vAlign w:val="center"/>
          </w:tcPr>
          <w:p w14:paraId="1C19A27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江达县汪布顶乡卓格村防洪工程</w:t>
            </w:r>
          </w:p>
        </w:tc>
        <w:tc>
          <w:tcPr>
            <w:tcW w:w="932" w:type="dxa"/>
            <w:tcBorders>
              <w:top w:val="nil"/>
              <w:left w:val="nil"/>
              <w:bottom w:val="single" w:color="auto" w:sz="4" w:space="0"/>
              <w:right w:val="single" w:color="auto" w:sz="4" w:space="0"/>
            </w:tcBorders>
            <w:shd w:val="clear" w:color="auto" w:fill="auto"/>
            <w:vAlign w:val="center"/>
          </w:tcPr>
          <w:p w14:paraId="7D96625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7356A75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173B80D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0F085386">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综合治理河道长度13.4公里，新建堤防8.5公里，河道疏浚4.9公里，防洪标准10年一遇，有效保护238户1658人的生命财产安全，保护草地720亩</w:t>
            </w:r>
          </w:p>
        </w:tc>
        <w:tc>
          <w:tcPr>
            <w:tcW w:w="932" w:type="dxa"/>
            <w:tcBorders>
              <w:top w:val="nil"/>
              <w:left w:val="nil"/>
              <w:bottom w:val="single" w:color="auto" w:sz="4" w:space="0"/>
              <w:right w:val="single" w:color="auto" w:sz="4" w:space="0"/>
            </w:tcBorders>
            <w:shd w:val="clear" w:color="auto" w:fill="auto"/>
            <w:vAlign w:val="center"/>
          </w:tcPr>
          <w:p w14:paraId="686263C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1D0B758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4C849E0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761A808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1800</w:t>
            </w:r>
          </w:p>
        </w:tc>
        <w:tc>
          <w:tcPr>
            <w:tcW w:w="1196" w:type="dxa"/>
            <w:tcBorders>
              <w:top w:val="nil"/>
              <w:left w:val="nil"/>
              <w:bottom w:val="single" w:color="auto" w:sz="4" w:space="0"/>
              <w:right w:val="single" w:color="auto" w:sz="4" w:space="0"/>
            </w:tcBorders>
            <w:shd w:val="clear" w:color="auto" w:fill="auto"/>
            <w:vAlign w:val="center"/>
          </w:tcPr>
          <w:p w14:paraId="1D63652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1800</w:t>
            </w:r>
          </w:p>
        </w:tc>
        <w:tc>
          <w:tcPr>
            <w:tcW w:w="658" w:type="dxa"/>
            <w:tcBorders>
              <w:top w:val="nil"/>
              <w:left w:val="nil"/>
              <w:bottom w:val="single" w:color="auto" w:sz="4" w:space="0"/>
              <w:right w:val="single" w:color="auto" w:sz="4" w:space="0"/>
            </w:tcBorders>
            <w:shd w:val="clear" w:color="auto" w:fill="auto"/>
            <w:vAlign w:val="center"/>
          </w:tcPr>
          <w:p w14:paraId="70D4F9CA">
            <w:pPr>
              <w:widowControl/>
              <w:spacing w:line="240" w:lineRule="exact"/>
              <w:jc w:val="center"/>
              <w:rPr>
                <w:rFonts w:hint="eastAsia" w:ascii="仿宋_GB2312" w:hAnsi="仿宋_GB2312" w:eastAsia="仿宋_GB2312" w:cs="仿宋_GB2312"/>
                <w:color w:val="auto"/>
                <w:kern w:val="0"/>
                <w:sz w:val="20"/>
                <w:szCs w:val="20"/>
              </w:rPr>
            </w:pPr>
          </w:p>
        </w:tc>
      </w:tr>
      <w:tr w14:paraId="7A7C1A21">
        <w:tblPrEx>
          <w:tblCellMar>
            <w:top w:w="0" w:type="dxa"/>
            <w:left w:w="51" w:type="dxa"/>
            <w:bottom w:w="0" w:type="dxa"/>
            <w:right w:w="51" w:type="dxa"/>
          </w:tblCellMar>
        </w:tblPrEx>
        <w:trPr>
          <w:trHeight w:val="130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DAFFE2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2-2-12</w:t>
            </w:r>
          </w:p>
        </w:tc>
        <w:tc>
          <w:tcPr>
            <w:tcW w:w="2069" w:type="dxa"/>
            <w:tcBorders>
              <w:top w:val="nil"/>
              <w:left w:val="nil"/>
              <w:bottom w:val="single" w:color="auto" w:sz="4" w:space="0"/>
              <w:right w:val="single" w:color="auto" w:sz="4" w:space="0"/>
            </w:tcBorders>
            <w:shd w:val="clear" w:color="auto" w:fill="auto"/>
            <w:vAlign w:val="center"/>
          </w:tcPr>
          <w:p w14:paraId="1DA0386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洛隆县拉依村防洪堤工程</w:t>
            </w:r>
          </w:p>
        </w:tc>
        <w:tc>
          <w:tcPr>
            <w:tcW w:w="932" w:type="dxa"/>
            <w:tcBorders>
              <w:top w:val="nil"/>
              <w:left w:val="nil"/>
              <w:bottom w:val="single" w:color="auto" w:sz="4" w:space="0"/>
              <w:right w:val="single" w:color="auto" w:sz="4" w:space="0"/>
            </w:tcBorders>
            <w:shd w:val="clear" w:color="auto" w:fill="auto"/>
            <w:vAlign w:val="center"/>
          </w:tcPr>
          <w:p w14:paraId="129EF16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10816C6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8C5934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A6BCFE6">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综合治理河道长度17公里，新建防洪堤10公里，河道疏浚7.2公里，设计标准为10年一遇，保护1512人的财产安全和保护耕地1200亩，保护草地和林地1100亩</w:t>
            </w:r>
          </w:p>
        </w:tc>
        <w:tc>
          <w:tcPr>
            <w:tcW w:w="932" w:type="dxa"/>
            <w:tcBorders>
              <w:top w:val="nil"/>
              <w:left w:val="nil"/>
              <w:bottom w:val="single" w:color="auto" w:sz="4" w:space="0"/>
              <w:right w:val="single" w:color="auto" w:sz="4" w:space="0"/>
            </w:tcBorders>
            <w:shd w:val="clear" w:color="auto" w:fill="auto"/>
            <w:vAlign w:val="center"/>
          </w:tcPr>
          <w:p w14:paraId="5CF2EC4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567073B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2E4DF9C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683891E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2400</w:t>
            </w:r>
          </w:p>
        </w:tc>
        <w:tc>
          <w:tcPr>
            <w:tcW w:w="1196" w:type="dxa"/>
            <w:tcBorders>
              <w:top w:val="nil"/>
              <w:left w:val="nil"/>
              <w:bottom w:val="single" w:color="auto" w:sz="4" w:space="0"/>
              <w:right w:val="single" w:color="auto" w:sz="4" w:space="0"/>
            </w:tcBorders>
            <w:shd w:val="clear" w:color="auto" w:fill="auto"/>
            <w:vAlign w:val="center"/>
          </w:tcPr>
          <w:p w14:paraId="3E980A6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2400</w:t>
            </w:r>
          </w:p>
        </w:tc>
        <w:tc>
          <w:tcPr>
            <w:tcW w:w="658" w:type="dxa"/>
            <w:tcBorders>
              <w:top w:val="nil"/>
              <w:left w:val="nil"/>
              <w:bottom w:val="single" w:color="auto" w:sz="4" w:space="0"/>
              <w:right w:val="single" w:color="auto" w:sz="4" w:space="0"/>
            </w:tcBorders>
            <w:shd w:val="clear" w:color="auto" w:fill="auto"/>
            <w:vAlign w:val="center"/>
          </w:tcPr>
          <w:p w14:paraId="331A741E">
            <w:pPr>
              <w:widowControl/>
              <w:spacing w:line="240" w:lineRule="exact"/>
              <w:jc w:val="center"/>
              <w:rPr>
                <w:rFonts w:hint="eastAsia" w:ascii="仿宋_GB2312" w:hAnsi="仿宋_GB2312" w:eastAsia="仿宋_GB2312" w:cs="仿宋_GB2312"/>
                <w:color w:val="auto"/>
                <w:kern w:val="0"/>
                <w:sz w:val="20"/>
                <w:szCs w:val="20"/>
              </w:rPr>
            </w:pPr>
          </w:p>
        </w:tc>
      </w:tr>
      <w:tr w14:paraId="319E050F">
        <w:tblPrEx>
          <w:tblCellMar>
            <w:top w:w="0" w:type="dxa"/>
            <w:left w:w="51" w:type="dxa"/>
            <w:bottom w:w="0" w:type="dxa"/>
            <w:right w:w="51" w:type="dxa"/>
          </w:tblCellMar>
        </w:tblPrEx>
        <w:trPr>
          <w:trHeight w:val="1339"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F5FED0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2-2-13</w:t>
            </w:r>
          </w:p>
        </w:tc>
        <w:tc>
          <w:tcPr>
            <w:tcW w:w="2069" w:type="dxa"/>
            <w:tcBorders>
              <w:top w:val="nil"/>
              <w:left w:val="nil"/>
              <w:bottom w:val="single" w:color="auto" w:sz="4" w:space="0"/>
              <w:right w:val="single" w:color="auto" w:sz="4" w:space="0"/>
            </w:tcBorders>
            <w:shd w:val="clear" w:color="auto" w:fill="auto"/>
            <w:vAlign w:val="center"/>
          </w:tcPr>
          <w:p w14:paraId="2CC2A73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江达县卓克曲河道治理工程</w:t>
            </w:r>
          </w:p>
        </w:tc>
        <w:tc>
          <w:tcPr>
            <w:tcW w:w="932" w:type="dxa"/>
            <w:tcBorders>
              <w:top w:val="nil"/>
              <w:left w:val="nil"/>
              <w:bottom w:val="single" w:color="auto" w:sz="4" w:space="0"/>
              <w:right w:val="single" w:color="auto" w:sz="4" w:space="0"/>
            </w:tcBorders>
            <w:shd w:val="clear" w:color="auto" w:fill="auto"/>
            <w:vAlign w:val="center"/>
          </w:tcPr>
          <w:p w14:paraId="76CD3E7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07FAE00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B41483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4A019BA">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综合治理河道长度15.8公里，新建堤防12.5公里，河道疏浚4.2公里防洪标准10年一遇，有效保护2个行政村，80户420人，以及保护耕地50亩、林地200亩、草地350亩</w:t>
            </w:r>
          </w:p>
        </w:tc>
        <w:tc>
          <w:tcPr>
            <w:tcW w:w="932" w:type="dxa"/>
            <w:tcBorders>
              <w:top w:val="nil"/>
              <w:left w:val="nil"/>
              <w:bottom w:val="single" w:color="auto" w:sz="4" w:space="0"/>
              <w:right w:val="single" w:color="auto" w:sz="4" w:space="0"/>
            </w:tcBorders>
            <w:shd w:val="clear" w:color="auto" w:fill="auto"/>
            <w:vAlign w:val="center"/>
          </w:tcPr>
          <w:p w14:paraId="76898A2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49F6B9D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1EFBF40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2385015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1196" w:type="dxa"/>
            <w:tcBorders>
              <w:top w:val="nil"/>
              <w:left w:val="nil"/>
              <w:bottom w:val="single" w:color="auto" w:sz="4" w:space="0"/>
              <w:right w:val="single" w:color="auto" w:sz="4" w:space="0"/>
            </w:tcBorders>
            <w:shd w:val="clear" w:color="auto" w:fill="auto"/>
            <w:vAlign w:val="center"/>
          </w:tcPr>
          <w:p w14:paraId="102EA41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658" w:type="dxa"/>
            <w:tcBorders>
              <w:top w:val="nil"/>
              <w:left w:val="nil"/>
              <w:bottom w:val="single" w:color="auto" w:sz="4" w:space="0"/>
              <w:right w:val="single" w:color="auto" w:sz="4" w:space="0"/>
            </w:tcBorders>
            <w:shd w:val="clear" w:color="auto" w:fill="auto"/>
            <w:vAlign w:val="center"/>
          </w:tcPr>
          <w:p w14:paraId="307D812A">
            <w:pPr>
              <w:widowControl/>
              <w:spacing w:line="240" w:lineRule="exact"/>
              <w:jc w:val="center"/>
              <w:rPr>
                <w:rFonts w:hint="eastAsia" w:ascii="仿宋_GB2312" w:hAnsi="仿宋_GB2312" w:eastAsia="仿宋_GB2312" w:cs="仿宋_GB2312"/>
                <w:color w:val="auto"/>
                <w:kern w:val="0"/>
                <w:sz w:val="20"/>
                <w:szCs w:val="20"/>
              </w:rPr>
            </w:pPr>
          </w:p>
        </w:tc>
      </w:tr>
      <w:tr w14:paraId="5DE9F4D8">
        <w:tblPrEx>
          <w:tblCellMar>
            <w:top w:w="0" w:type="dxa"/>
            <w:left w:w="51" w:type="dxa"/>
            <w:bottom w:w="0" w:type="dxa"/>
            <w:right w:w="51" w:type="dxa"/>
          </w:tblCellMar>
        </w:tblPrEx>
        <w:trPr>
          <w:trHeight w:val="1384"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761B493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2-2-14</w:t>
            </w:r>
          </w:p>
        </w:tc>
        <w:tc>
          <w:tcPr>
            <w:tcW w:w="2069" w:type="dxa"/>
            <w:tcBorders>
              <w:top w:val="nil"/>
              <w:left w:val="nil"/>
              <w:bottom w:val="single" w:color="auto" w:sz="4" w:space="0"/>
              <w:right w:val="single" w:color="auto" w:sz="4" w:space="0"/>
            </w:tcBorders>
            <w:shd w:val="clear" w:color="auto" w:fill="auto"/>
            <w:vAlign w:val="center"/>
          </w:tcPr>
          <w:p w14:paraId="638C1BF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察雅县汪布曲宗沙乡仲果村防洪工程</w:t>
            </w:r>
          </w:p>
        </w:tc>
        <w:tc>
          <w:tcPr>
            <w:tcW w:w="932" w:type="dxa"/>
            <w:tcBorders>
              <w:top w:val="nil"/>
              <w:left w:val="nil"/>
              <w:bottom w:val="single" w:color="auto" w:sz="4" w:space="0"/>
              <w:right w:val="single" w:color="auto" w:sz="4" w:space="0"/>
            </w:tcBorders>
            <w:shd w:val="clear" w:color="auto" w:fill="auto"/>
            <w:vAlign w:val="center"/>
          </w:tcPr>
          <w:p w14:paraId="7225BD7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w:t>
            </w:r>
          </w:p>
        </w:tc>
        <w:tc>
          <w:tcPr>
            <w:tcW w:w="732" w:type="dxa"/>
            <w:tcBorders>
              <w:top w:val="nil"/>
              <w:left w:val="nil"/>
              <w:bottom w:val="single" w:color="auto" w:sz="4" w:space="0"/>
              <w:right w:val="single" w:color="auto" w:sz="4" w:space="0"/>
            </w:tcBorders>
            <w:shd w:val="clear" w:color="auto" w:fill="auto"/>
            <w:vAlign w:val="center"/>
          </w:tcPr>
          <w:p w14:paraId="4747CE8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FC1B41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87035CB">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综合治理长度5.5公里，新建堤防4.2公里，防洪标准10年一遇，河道清淤2.8公里，本工程防护区域为察雅县宗沙乡仲果村，保护</w:t>
            </w:r>
            <w:r>
              <w:rPr>
                <w:rFonts w:hint="eastAsia" w:ascii="仿宋_GB2312" w:hAnsi="仿宋_GB2312" w:eastAsia="仿宋_GB2312" w:cs="仿宋_GB2312"/>
                <w:color w:val="auto"/>
                <w:kern w:val="0"/>
                <w:sz w:val="20"/>
                <w:szCs w:val="20"/>
                <w:highlight w:val="none"/>
              </w:rPr>
              <w:t>范围仲</w:t>
            </w:r>
            <w:r>
              <w:rPr>
                <w:rFonts w:hint="eastAsia" w:ascii="仿宋_GB2312" w:hAnsi="仿宋_GB2312" w:eastAsia="仿宋_GB2312" w:cs="仿宋_GB2312"/>
                <w:color w:val="auto"/>
                <w:kern w:val="0"/>
                <w:sz w:val="20"/>
                <w:szCs w:val="20"/>
              </w:rPr>
              <w:t>果村207人、168亩耕地及村委会</w:t>
            </w:r>
          </w:p>
        </w:tc>
        <w:tc>
          <w:tcPr>
            <w:tcW w:w="932" w:type="dxa"/>
            <w:tcBorders>
              <w:top w:val="nil"/>
              <w:left w:val="nil"/>
              <w:bottom w:val="single" w:color="auto" w:sz="4" w:space="0"/>
              <w:right w:val="single" w:color="auto" w:sz="4" w:space="0"/>
            </w:tcBorders>
            <w:shd w:val="clear" w:color="auto" w:fill="auto"/>
            <w:vAlign w:val="center"/>
          </w:tcPr>
          <w:p w14:paraId="5894CE4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1839859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3C76745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168FBAD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1256</w:t>
            </w:r>
          </w:p>
        </w:tc>
        <w:tc>
          <w:tcPr>
            <w:tcW w:w="1196" w:type="dxa"/>
            <w:tcBorders>
              <w:top w:val="nil"/>
              <w:left w:val="nil"/>
              <w:bottom w:val="single" w:color="auto" w:sz="4" w:space="0"/>
              <w:right w:val="single" w:color="auto" w:sz="4" w:space="0"/>
            </w:tcBorders>
            <w:shd w:val="clear" w:color="auto" w:fill="auto"/>
            <w:vAlign w:val="center"/>
          </w:tcPr>
          <w:p w14:paraId="769E818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1256</w:t>
            </w:r>
          </w:p>
        </w:tc>
        <w:tc>
          <w:tcPr>
            <w:tcW w:w="658" w:type="dxa"/>
            <w:tcBorders>
              <w:top w:val="nil"/>
              <w:left w:val="nil"/>
              <w:bottom w:val="single" w:color="auto" w:sz="4" w:space="0"/>
              <w:right w:val="single" w:color="auto" w:sz="4" w:space="0"/>
            </w:tcBorders>
            <w:shd w:val="clear" w:color="auto" w:fill="auto"/>
            <w:vAlign w:val="center"/>
          </w:tcPr>
          <w:p w14:paraId="1966674C">
            <w:pPr>
              <w:widowControl/>
              <w:spacing w:line="240" w:lineRule="exact"/>
              <w:jc w:val="center"/>
              <w:rPr>
                <w:rFonts w:hint="eastAsia" w:ascii="仿宋_GB2312" w:hAnsi="仿宋_GB2312" w:eastAsia="仿宋_GB2312" w:cs="仿宋_GB2312"/>
                <w:color w:val="auto"/>
                <w:kern w:val="0"/>
                <w:sz w:val="20"/>
                <w:szCs w:val="20"/>
              </w:rPr>
            </w:pPr>
          </w:p>
        </w:tc>
      </w:tr>
      <w:tr w14:paraId="1BBDCD52">
        <w:tblPrEx>
          <w:tblCellMar>
            <w:top w:w="0" w:type="dxa"/>
            <w:left w:w="51" w:type="dxa"/>
            <w:bottom w:w="0" w:type="dxa"/>
            <w:right w:w="51" w:type="dxa"/>
          </w:tblCellMar>
        </w:tblPrEx>
        <w:trPr>
          <w:trHeight w:val="130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CB7566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2-2-15</w:t>
            </w:r>
          </w:p>
        </w:tc>
        <w:tc>
          <w:tcPr>
            <w:tcW w:w="2069" w:type="dxa"/>
            <w:tcBorders>
              <w:top w:val="nil"/>
              <w:left w:val="nil"/>
              <w:bottom w:val="single" w:color="auto" w:sz="4" w:space="0"/>
              <w:right w:val="single" w:color="auto" w:sz="4" w:space="0"/>
            </w:tcBorders>
            <w:shd w:val="clear" w:color="auto" w:fill="auto"/>
            <w:vAlign w:val="center"/>
          </w:tcPr>
          <w:p w14:paraId="72DE874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洛隆县格谱曲河道治理工程</w:t>
            </w:r>
          </w:p>
        </w:tc>
        <w:tc>
          <w:tcPr>
            <w:tcW w:w="932" w:type="dxa"/>
            <w:tcBorders>
              <w:top w:val="nil"/>
              <w:left w:val="nil"/>
              <w:bottom w:val="single" w:color="auto" w:sz="4" w:space="0"/>
              <w:right w:val="single" w:color="auto" w:sz="4" w:space="0"/>
            </w:tcBorders>
            <w:shd w:val="clear" w:color="auto" w:fill="auto"/>
            <w:vAlign w:val="center"/>
          </w:tcPr>
          <w:p w14:paraId="0209F62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59FA20E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507C41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0B15B512">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河道治理16.2公里，新建防洪堤10.5公里，设计标准为10年一遇，河道清淤5.7公里，保护312人的财产安全和保护耕地200亩，保护草地和林地1800亩</w:t>
            </w:r>
          </w:p>
        </w:tc>
        <w:tc>
          <w:tcPr>
            <w:tcW w:w="932" w:type="dxa"/>
            <w:tcBorders>
              <w:top w:val="nil"/>
              <w:left w:val="nil"/>
              <w:bottom w:val="single" w:color="auto" w:sz="4" w:space="0"/>
              <w:right w:val="single" w:color="auto" w:sz="4" w:space="0"/>
            </w:tcBorders>
            <w:shd w:val="clear" w:color="auto" w:fill="auto"/>
            <w:vAlign w:val="center"/>
          </w:tcPr>
          <w:p w14:paraId="64C7B36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7DD6BC5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57A5C25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4CB8BE1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1196" w:type="dxa"/>
            <w:tcBorders>
              <w:top w:val="nil"/>
              <w:left w:val="nil"/>
              <w:bottom w:val="single" w:color="auto" w:sz="4" w:space="0"/>
              <w:right w:val="single" w:color="auto" w:sz="4" w:space="0"/>
            </w:tcBorders>
            <w:shd w:val="clear" w:color="auto" w:fill="auto"/>
            <w:vAlign w:val="center"/>
          </w:tcPr>
          <w:p w14:paraId="53A9C22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658" w:type="dxa"/>
            <w:tcBorders>
              <w:top w:val="nil"/>
              <w:left w:val="nil"/>
              <w:bottom w:val="single" w:color="auto" w:sz="4" w:space="0"/>
              <w:right w:val="single" w:color="auto" w:sz="4" w:space="0"/>
            </w:tcBorders>
            <w:shd w:val="clear" w:color="auto" w:fill="auto"/>
            <w:vAlign w:val="center"/>
          </w:tcPr>
          <w:p w14:paraId="0069D227">
            <w:pPr>
              <w:widowControl/>
              <w:spacing w:line="240" w:lineRule="exact"/>
              <w:jc w:val="both"/>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r>
      <w:tr w14:paraId="1388DAB7">
        <w:tblPrEx>
          <w:tblCellMar>
            <w:top w:w="0" w:type="dxa"/>
            <w:left w:w="51" w:type="dxa"/>
            <w:bottom w:w="0" w:type="dxa"/>
            <w:right w:w="51" w:type="dxa"/>
          </w:tblCellMar>
        </w:tblPrEx>
        <w:trPr>
          <w:trHeight w:val="112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286626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2-2-16</w:t>
            </w:r>
          </w:p>
        </w:tc>
        <w:tc>
          <w:tcPr>
            <w:tcW w:w="2069" w:type="dxa"/>
            <w:tcBorders>
              <w:top w:val="nil"/>
              <w:left w:val="nil"/>
              <w:bottom w:val="single" w:color="auto" w:sz="4" w:space="0"/>
              <w:right w:val="single" w:color="auto" w:sz="4" w:space="0"/>
            </w:tcBorders>
            <w:shd w:val="clear" w:color="auto" w:fill="auto"/>
            <w:vAlign w:val="center"/>
          </w:tcPr>
          <w:p w14:paraId="04D4EAB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察雅县坤达曲阿孜乡安置区堤防工程</w:t>
            </w:r>
          </w:p>
        </w:tc>
        <w:tc>
          <w:tcPr>
            <w:tcW w:w="932" w:type="dxa"/>
            <w:tcBorders>
              <w:top w:val="nil"/>
              <w:left w:val="nil"/>
              <w:bottom w:val="single" w:color="auto" w:sz="4" w:space="0"/>
              <w:right w:val="single" w:color="auto" w:sz="4" w:space="0"/>
            </w:tcBorders>
            <w:shd w:val="clear" w:color="auto" w:fill="auto"/>
            <w:vAlign w:val="center"/>
          </w:tcPr>
          <w:p w14:paraId="7F66944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w:t>
            </w:r>
          </w:p>
        </w:tc>
        <w:tc>
          <w:tcPr>
            <w:tcW w:w="732" w:type="dxa"/>
            <w:tcBorders>
              <w:top w:val="nil"/>
              <w:left w:val="nil"/>
              <w:bottom w:val="single" w:color="auto" w:sz="4" w:space="0"/>
              <w:right w:val="single" w:color="auto" w:sz="4" w:space="0"/>
            </w:tcBorders>
            <w:shd w:val="clear" w:color="auto" w:fill="auto"/>
            <w:vAlign w:val="center"/>
          </w:tcPr>
          <w:p w14:paraId="6A86014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0CAEE44">
            <w:pPr>
              <w:widowControl/>
              <w:spacing w:line="240" w:lineRule="exact"/>
              <w:jc w:val="center"/>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rPr>
              <w:t>初设</w:t>
            </w:r>
            <w:r>
              <w:rPr>
                <w:rFonts w:hint="eastAsia" w:ascii="仿宋_GB2312" w:hAnsi="仿宋_GB2312" w:eastAsia="仿宋_GB2312" w:cs="仿宋_GB2312"/>
                <w:color w:val="auto"/>
                <w:kern w:val="0"/>
                <w:sz w:val="20"/>
                <w:szCs w:val="20"/>
                <w:lang w:eastAsia="zh-CN"/>
              </w:rPr>
              <w:t>待审</w:t>
            </w:r>
          </w:p>
        </w:tc>
        <w:tc>
          <w:tcPr>
            <w:tcW w:w="3116" w:type="dxa"/>
            <w:tcBorders>
              <w:top w:val="nil"/>
              <w:left w:val="nil"/>
              <w:bottom w:val="single" w:color="auto" w:sz="4" w:space="0"/>
              <w:right w:val="single" w:color="auto" w:sz="4" w:space="0"/>
            </w:tcBorders>
            <w:shd w:val="clear" w:color="auto" w:fill="auto"/>
            <w:vAlign w:val="center"/>
          </w:tcPr>
          <w:p w14:paraId="3C3A7979">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综合治理河道长度9.6公里，新建堤防7公里，河道疏浚2.9公里，防洪标准20年一遇，防护阿孜乡安置区29户、162人及新政府驻地</w:t>
            </w:r>
          </w:p>
        </w:tc>
        <w:tc>
          <w:tcPr>
            <w:tcW w:w="932" w:type="dxa"/>
            <w:tcBorders>
              <w:top w:val="nil"/>
              <w:left w:val="nil"/>
              <w:bottom w:val="single" w:color="auto" w:sz="4" w:space="0"/>
              <w:right w:val="single" w:color="auto" w:sz="4" w:space="0"/>
            </w:tcBorders>
            <w:shd w:val="clear" w:color="auto" w:fill="auto"/>
            <w:vAlign w:val="center"/>
          </w:tcPr>
          <w:p w14:paraId="126930F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0AF0E75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419E4CA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7982C28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1400</w:t>
            </w:r>
          </w:p>
        </w:tc>
        <w:tc>
          <w:tcPr>
            <w:tcW w:w="1196" w:type="dxa"/>
            <w:tcBorders>
              <w:top w:val="nil"/>
              <w:left w:val="nil"/>
              <w:bottom w:val="single" w:color="auto" w:sz="4" w:space="0"/>
              <w:right w:val="single" w:color="auto" w:sz="4" w:space="0"/>
            </w:tcBorders>
            <w:shd w:val="clear" w:color="auto" w:fill="auto"/>
            <w:vAlign w:val="center"/>
          </w:tcPr>
          <w:p w14:paraId="756EE7E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1400</w:t>
            </w:r>
          </w:p>
        </w:tc>
        <w:tc>
          <w:tcPr>
            <w:tcW w:w="658" w:type="dxa"/>
            <w:tcBorders>
              <w:top w:val="nil"/>
              <w:left w:val="nil"/>
              <w:bottom w:val="single" w:color="auto" w:sz="4" w:space="0"/>
              <w:right w:val="single" w:color="auto" w:sz="4" w:space="0"/>
            </w:tcBorders>
            <w:shd w:val="clear" w:color="auto" w:fill="auto"/>
            <w:vAlign w:val="center"/>
          </w:tcPr>
          <w:p w14:paraId="69885217">
            <w:pPr>
              <w:widowControl/>
              <w:spacing w:line="240" w:lineRule="exact"/>
              <w:jc w:val="center"/>
              <w:rPr>
                <w:rFonts w:hint="eastAsia" w:ascii="仿宋_GB2312" w:hAnsi="仿宋_GB2312" w:eastAsia="仿宋_GB2312" w:cs="仿宋_GB2312"/>
                <w:color w:val="auto"/>
                <w:kern w:val="0"/>
                <w:sz w:val="20"/>
                <w:szCs w:val="20"/>
              </w:rPr>
            </w:pPr>
          </w:p>
        </w:tc>
      </w:tr>
      <w:tr w14:paraId="652CEF63">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D0F7A6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2-2-17</w:t>
            </w:r>
          </w:p>
        </w:tc>
        <w:tc>
          <w:tcPr>
            <w:tcW w:w="2069" w:type="dxa"/>
            <w:tcBorders>
              <w:top w:val="nil"/>
              <w:left w:val="nil"/>
              <w:bottom w:val="single" w:color="auto" w:sz="4" w:space="0"/>
              <w:right w:val="single" w:color="auto" w:sz="4" w:space="0"/>
            </w:tcBorders>
            <w:shd w:val="clear" w:color="auto" w:fill="auto"/>
            <w:vAlign w:val="center"/>
          </w:tcPr>
          <w:p w14:paraId="70DE266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芒康县曲井曲堆吾龙段治理工程</w:t>
            </w:r>
          </w:p>
        </w:tc>
        <w:tc>
          <w:tcPr>
            <w:tcW w:w="932" w:type="dxa"/>
            <w:tcBorders>
              <w:top w:val="nil"/>
              <w:left w:val="nil"/>
              <w:bottom w:val="single" w:color="auto" w:sz="4" w:space="0"/>
              <w:right w:val="single" w:color="auto" w:sz="4" w:space="0"/>
            </w:tcBorders>
            <w:shd w:val="clear" w:color="auto" w:fill="auto"/>
            <w:vAlign w:val="center"/>
          </w:tcPr>
          <w:p w14:paraId="185FC09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芒康县</w:t>
            </w:r>
          </w:p>
        </w:tc>
        <w:tc>
          <w:tcPr>
            <w:tcW w:w="732" w:type="dxa"/>
            <w:tcBorders>
              <w:top w:val="nil"/>
              <w:left w:val="nil"/>
              <w:bottom w:val="single" w:color="auto" w:sz="4" w:space="0"/>
              <w:right w:val="single" w:color="auto" w:sz="4" w:space="0"/>
            </w:tcBorders>
            <w:shd w:val="clear" w:color="auto" w:fill="auto"/>
            <w:vAlign w:val="center"/>
          </w:tcPr>
          <w:p w14:paraId="2DCE1D1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95D245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初设待审</w:t>
            </w:r>
          </w:p>
        </w:tc>
        <w:tc>
          <w:tcPr>
            <w:tcW w:w="3116" w:type="dxa"/>
            <w:tcBorders>
              <w:top w:val="nil"/>
              <w:left w:val="nil"/>
              <w:bottom w:val="single" w:color="auto" w:sz="4" w:space="0"/>
              <w:right w:val="single" w:color="auto" w:sz="4" w:space="0"/>
            </w:tcBorders>
            <w:shd w:val="clear" w:color="auto" w:fill="auto"/>
            <w:vAlign w:val="center"/>
          </w:tcPr>
          <w:p w14:paraId="4A157766">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河道总长17.2公里，新建堤防7.47公里，防洪标准10年一遇，河道清淤10公里，保护然堆村、加尼顶村的耕地、牧场（共972.7亩）、人口1863人及群众财产，保护吾龙堆组、觉玛组2村的耕地、牧场（共639.1亩）、人口1358人财产</w:t>
            </w:r>
          </w:p>
        </w:tc>
        <w:tc>
          <w:tcPr>
            <w:tcW w:w="932" w:type="dxa"/>
            <w:tcBorders>
              <w:top w:val="nil"/>
              <w:left w:val="nil"/>
              <w:bottom w:val="single" w:color="auto" w:sz="4" w:space="0"/>
              <w:right w:val="single" w:color="auto" w:sz="4" w:space="0"/>
            </w:tcBorders>
            <w:shd w:val="clear" w:color="auto" w:fill="auto"/>
            <w:vAlign w:val="center"/>
          </w:tcPr>
          <w:p w14:paraId="7F26E67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306B73D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4E83040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41AEE3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2301</w:t>
            </w:r>
          </w:p>
        </w:tc>
        <w:tc>
          <w:tcPr>
            <w:tcW w:w="1196" w:type="dxa"/>
            <w:tcBorders>
              <w:top w:val="nil"/>
              <w:left w:val="nil"/>
              <w:bottom w:val="single" w:color="auto" w:sz="4" w:space="0"/>
              <w:right w:val="single" w:color="auto" w:sz="4" w:space="0"/>
            </w:tcBorders>
            <w:shd w:val="clear" w:color="auto" w:fill="auto"/>
            <w:vAlign w:val="center"/>
          </w:tcPr>
          <w:p w14:paraId="6415E8F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2301</w:t>
            </w:r>
          </w:p>
        </w:tc>
        <w:tc>
          <w:tcPr>
            <w:tcW w:w="658" w:type="dxa"/>
            <w:tcBorders>
              <w:top w:val="nil"/>
              <w:left w:val="nil"/>
              <w:bottom w:val="single" w:color="auto" w:sz="4" w:space="0"/>
              <w:right w:val="single" w:color="auto" w:sz="4" w:space="0"/>
            </w:tcBorders>
            <w:shd w:val="clear" w:color="auto" w:fill="auto"/>
            <w:vAlign w:val="center"/>
          </w:tcPr>
          <w:p w14:paraId="60196B9A">
            <w:pPr>
              <w:widowControl/>
              <w:spacing w:line="240" w:lineRule="exact"/>
              <w:jc w:val="center"/>
              <w:rPr>
                <w:rFonts w:hint="eastAsia" w:ascii="仿宋_GB2312" w:hAnsi="仿宋_GB2312" w:eastAsia="仿宋_GB2312" w:cs="仿宋_GB2312"/>
                <w:color w:val="auto"/>
                <w:kern w:val="0"/>
                <w:sz w:val="20"/>
                <w:szCs w:val="20"/>
              </w:rPr>
            </w:pPr>
          </w:p>
        </w:tc>
      </w:tr>
      <w:tr w14:paraId="54F4D43B">
        <w:tblPrEx>
          <w:tblCellMar>
            <w:top w:w="0" w:type="dxa"/>
            <w:left w:w="51" w:type="dxa"/>
            <w:bottom w:w="0" w:type="dxa"/>
            <w:right w:w="51" w:type="dxa"/>
          </w:tblCellMar>
        </w:tblPrEx>
        <w:trPr>
          <w:trHeight w:val="154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DDDEFD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2-2-18</w:t>
            </w:r>
          </w:p>
        </w:tc>
        <w:tc>
          <w:tcPr>
            <w:tcW w:w="2069" w:type="dxa"/>
            <w:tcBorders>
              <w:top w:val="nil"/>
              <w:left w:val="nil"/>
              <w:bottom w:val="single" w:color="auto" w:sz="4" w:space="0"/>
              <w:right w:val="single" w:color="auto" w:sz="4" w:space="0"/>
            </w:tcBorders>
            <w:shd w:val="clear" w:color="auto" w:fill="auto"/>
            <w:vAlign w:val="center"/>
          </w:tcPr>
          <w:p w14:paraId="7F4DD34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察雅县卡曲扩大乡旺达果尼通村堤防工程</w:t>
            </w:r>
          </w:p>
        </w:tc>
        <w:tc>
          <w:tcPr>
            <w:tcW w:w="932" w:type="dxa"/>
            <w:tcBorders>
              <w:top w:val="nil"/>
              <w:left w:val="nil"/>
              <w:bottom w:val="single" w:color="auto" w:sz="4" w:space="0"/>
              <w:right w:val="single" w:color="auto" w:sz="4" w:space="0"/>
            </w:tcBorders>
            <w:shd w:val="clear" w:color="auto" w:fill="auto"/>
            <w:vAlign w:val="center"/>
          </w:tcPr>
          <w:p w14:paraId="06D5B3B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w:t>
            </w:r>
          </w:p>
        </w:tc>
        <w:tc>
          <w:tcPr>
            <w:tcW w:w="732" w:type="dxa"/>
            <w:tcBorders>
              <w:top w:val="nil"/>
              <w:left w:val="nil"/>
              <w:bottom w:val="single" w:color="auto" w:sz="4" w:space="0"/>
              <w:right w:val="single" w:color="auto" w:sz="4" w:space="0"/>
            </w:tcBorders>
            <w:shd w:val="clear" w:color="auto" w:fill="auto"/>
            <w:vAlign w:val="center"/>
          </w:tcPr>
          <w:p w14:paraId="7DCDECC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4E2BBE8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2DF1D562">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综合治理长度13公里，新建堤防8.5公里，防洪标准10年一遇，河道清淤5.3公里，防护区域为察雅县扩达乡旺达果尼通村，保护范围果尼通村513人、99亩耕地及村委会、教学点、安置点</w:t>
            </w:r>
          </w:p>
        </w:tc>
        <w:tc>
          <w:tcPr>
            <w:tcW w:w="932" w:type="dxa"/>
            <w:tcBorders>
              <w:top w:val="nil"/>
              <w:left w:val="nil"/>
              <w:bottom w:val="single" w:color="auto" w:sz="4" w:space="0"/>
              <w:right w:val="single" w:color="auto" w:sz="4" w:space="0"/>
            </w:tcBorders>
            <w:shd w:val="clear" w:color="auto" w:fill="auto"/>
            <w:vAlign w:val="center"/>
          </w:tcPr>
          <w:p w14:paraId="528FB31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0446B25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6CBE78D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3D36846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1625</w:t>
            </w:r>
          </w:p>
        </w:tc>
        <w:tc>
          <w:tcPr>
            <w:tcW w:w="1196" w:type="dxa"/>
            <w:tcBorders>
              <w:top w:val="nil"/>
              <w:left w:val="nil"/>
              <w:bottom w:val="single" w:color="auto" w:sz="4" w:space="0"/>
              <w:right w:val="single" w:color="auto" w:sz="4" w:space="0"/>
            </w:tcBorders>
            <w:shd w:val="clear" w:color="auto" w:fill="auto"/>
            <w:vAlign w:val="center"/>
          </w:tcPr>
          <w:p w14:paraId="4D7885C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1625</w:t>
            </w:r>
          </w:p>
        </w:tc>
        <w:tc>
          <w:tcPr>
            <w:tcW w:w="658" w:type="dxa"/>
            <w:tcBorders>
              <w:top w:val="nil"/>
              <w:left w:val="nil"/>
              <w:bottom w:val="single" w:color="auto" w:sz="4" w:space="0"/>
              <w:right w:val="single" w:color="auto" w:sz="4" w:space="0"/>
            </w:tcBorders>
            <w:shd w:val="clear" w:color="auto" w:fill="auto"/>
            <w:vAlign w:val="center"/>
          </w:tcPr>
          <w:p w14:paraId="32F68D02">
            <w:pPr>
              <w:widowControl/>
              <w:spacing w:line="240" w:lineRule="exact"/>
              <w:jc w:val="center"/>
              <w:rPr>
                <w:rFonts w:hint="eastAsia" w:ascii="仿宋_GB2312" w:hAnsi="仿宋_GB2312" w:eastAsia="仿宋_GB2312" w:cs="仿宋_GB2312"/>
                <w:color w:val="auto"/>
                <w:kern w:val="0"/>
                <w:sz w:val="20"/>
                <w:szCs w:val="20"/>
              </w:rPr>
            </w:pPr>
          </w:p>
        </w:tc>
      </w:tr>
      <w:tr w14:paraId="177F2795">
        <w:tblPrEx>
          <w:tblCellMar>
            <w:top w:w="0" w:type="dxa"/>
            <w:left w:w="51" w:type="dxa"/>
            <w:bottom w:w="0" w:type="dxa"/>
            <w:right w:w="51" w:type="dxa"/>
          </w:tblCellMar>
        </w:tblPrEx>
        <w:trPr>
          <w:trHeight w:val="111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762C68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2-2-19</w:t>
            </w:r>
          </w:p>
        </w:tc>
        <w:tc>
          <w:tcPr>
            <w:tcW w:w="2069" w:type="dxa"/>
            <w:tcBorders>
              <w:top w:val="nil"/>
              <w:left w:val="nil"/>
              <w:bottom w:val="single" w:color="auto" w:sz="4" w:space="0"/>
              <w:right w:val="single" w:color="auto" w:sz="4" w:space="0"/>
            </w:tcBorders>
            <w:shd w:val="clear" w:color="auto" w:fill="auto"/>
            <w:vAlign w:val="center"/>
          </w:tcPr>
          <w:p w14:paraId="1ABCD37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洛隆县康沙镇康沙河防洪堤工程</w:t>
            </w:r>
          </w:p>
        </w:tc>
        <w:tc>
          <w:tcPr>
            <w:tcW w:w="932" w:type="dxa"/>
            <w:tcBorders>
              <w:top w:val="nil"/>
              <w:left w:val="nil"/>
              <w:bottom w:val="single" w:color="auto" w:sz="4" w:space="0"/>
              <w:right w:val="single" w:color="auto" w:sz="4" w:space="0"/>
            </w:tcBorders>
            <w:shd w:val="clear" w:color="auto" w:fill="auto"/>
            <w:vAlign w:val="center"/>
          </w:tcPr>
          <w:p w14:paraId="6833C92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05152D7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DBF04A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02042C3">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综合治理长度22.2公里，新建堤防12.13公里，防洪标准10年一遇，河道清淤10.5公里，保护5885人，耕地1410亩、草地、林地5300亩</w:t>
            </w:r>
          </w:p>
        </w:tc>
        <w:tc>
          <w:tcPr>
            <w:tcW w:w="932" w:type="dxa"/>
            <w:tcBorders>
              <w:top w:val="nil"/>
              <w:left w:val="nil"/>
              <w:bottom w:val="single" w:color="auto" w:sz="4" w:space="0"/>
              <w:right w:val="single" w:color="auto" w:sz="4" w:space="0"/>
            </w:tcBorders>
            <w:shd w:val="clear" w:color="auto" w:fill="auto"/>
            <w:vAlign w:val="center"/>
          </w:tcPr>
          <w:p w14:paraId="467BEC8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55E1E26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59CD6E7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6AEE2E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2913</w:t>
            </w:r>
          </w:p>
        </w:tc>
        <w:tc>
          <w:tcPr>
            <w:tcW w:w="1196" w:type="dxa"/>
            <w:tcBorders>
              <w:top w:val="nil"/>
              <w:left w:val="nil"/>
              <w:bottom w:val="single" w:color="auto" w:sz="4" w:space="0"/>
              <w:right w:val="single" w:color="auto" w:sz="4" w:space="0"/>
            </w:tcBorders>
            <w:shd w:val="clear" w:color="auto" w:fill="auto"/>
            <w:vAlign w:val="center"/>
          </w:tcPr>
          <w:p w14:paraId="774DF65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2913</w:t>
            </w:r>
          </w:p>
        </w:tc>
        <w:tc>
          <w:tcPr>
            <w:tcW w:w="658" w:type="dxa"/>
            <w:tcBorders>
              <w:top w:val="nil"/>
              <w:left w:val="nil"/>
              <w:bottom w:val="single" w:color="auto" w:sz="4" w:space="0"/>
              <w:right w:val="single" w:color="auto" w:sz="4" w:space="0"/>
            </w:tcBorders>
            <w:shd w:val="clear" w:color="auto" w:fill="auto"/>
            <w:vAlign w:val="center"/>
          </w:tcPr>
          <w:p w14:paraId="49E69AEF">
            <w:pPr>
              <w:widowControl/>
              <w:spacing w:line="240" w:lineRule="exact"/>
              <w:jc w:val="center"/>
              <w:rPr>
                <w:rFonts w:hint="eastAsia" w:ascii="仿宋_GB2312" w:hAnsi="仿宋_GB2312" w:eastAsia="仿宋_GB2312" w:cs="仿宋_GB2312"/>
                <w:color w:val="auto"/>
                <w:kern w:val="0"/>
                <w:sz w:val="20"/>
                <w:szCs w:val="20"/>
              </w:rPr>
            </w:pPr>
          </w:p>
        </w:tc>
      </w:tr>
      <w:tr w14:paraId="56658B0C">
        <w:tblPrEx>
          <w:tblCellMar>
            <w:top w:w="0" w:type="dxa"/>
            <w:left w:w="51" w:type="dxa"/>
            <w:bottom w:w="0" w:type="dxa"/>
            <w:right w:w="51" w:type="dxa"/>
          </w:tblCellMar>
        </w:tblPrEx>
        <w:trPr>
          <w:trHeight w:val="160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F5EB69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2-2-20</w:t>
            </w:r>
          </w:p>
        </w:tc>
        <w:tc>
          <w:tcPr>
            <w:tcW w:w="2069" w:type="dxa"/>
            <w:tcBorders>
              <w:top w:val="nil"/>
              <w:left w:val="nil"/>
              <w:bottom w:val="single" w:color="auto" w:sz="4" w:space="0"/>
              <w:right w:val="single" w:color="auto" w:sz="4" w:space="0"/>
            </w:tcBorders>
            <w:shd w:val="clear" w:color="auto" w:fill="auto"/>
            <w:vAlign w:val="center"/>
          </w:tcPr>
          <w:p w14:paraId="7BDA745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丁青县色扎乡防洪工程</w:t>
            </w:r>
          </w:p>
        </w:tc>
        <w:tc>
          <w:tcPr>
            <w:tcW w:w="932" w:type="dxa"/>
            <w:tcBorders>
              <w:top w:val="nil"/>
              <w:left w:val="nil"/>
              <w:bottom w:val="single" w:color="auto" w:sz="4" w:space="0"/>
              <w:right w:val="single" w:color="auto" w:sz="4" w:space="0"/>
            </w:tcBorders>
            <w:shd w:val="clear" w:color="auto" w:fill="auto"/>
            <w:vAlign w:val="center"/>
          </w:tcPr>
          <w:p w14:paraId="2CF08EB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丁青县</w:t>
            </w:r>
          </w:p>
        </w:tc>
        <w:tc>
          <w:tcPr>
            <w:tcW w:w="732" w:type="dxa"/>
            <w:tcBorders>
              <w:top w:val="nil"/>
              <w:left w:val="nil"/>
              <w:bottom w:val="single" w:color="auto" w:sz="4" w:space="0"/>
              <w:right w:val="single" w:color="auto" w:sz="4" w:space="0"/>
            </w:tcBorders>
            <w:shd w:val="clear" w:color="auto" w:fill="auto"/>
            <w:vAlign w:val="center"/>
          </w:tcPr>
          <w:p w14:paraId="7C54F39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B6C7B1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37DB7076">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综合治理河道长度21.5公里，新建堤防18.5公里，河道疏浚4.5公里，防洪标准10年一遇，工程建设后可保护1个乡政府3个行政村，300户1120人，耕地410亩、草地1120亩、林地100亩</w:t>
            </w:r>
          </w:p>
        </w:tc>
        <w:tc>
          <w:tcPr>
            <w:tcW w:w="932" w:type="dxa"/>
            <w:tcBorders>
              <w:top w:val="nil"/>
              <w:left w:val="nil"/>
              <w:bottom w:val="single" w:color="auto" w:sz="4" w:space="0"/>
              <w:right w:val="single" w:color="auto" w:sz="4" w:space="0"/>
            </w:tcBorders>
            <w:shd w:val="clear" w:color="auto" w:fill="auto"/>
            <w:vAlign w:val="center"/>
          </w:tcPr>
          <w:p w14:paraId="38D9749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946" w:type="dxa"/>
            <w:tcBorders>
              <w:top w:val="nil"/>
              <w:left w:val="nil"/>
              <w:bottom w:val="single" w:color="auto" w:sz="4" w:space="0"/>
              <w:right w:val="single" w:color="auto" w:sz="4" w:space="0"/>
            </w:tcBorders>
            <w:shd w:val="clear" w:color="auto" w:fill="auto"/>
            <w:vAlign w:val="center"/>
          </w:tcPr>
          <w:p w14:paraId="2AA06E9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754000D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2D6A42F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2900</w:t>
            </w:r>
          </w:p>
        </w:tc>
        <w:tc>
          <w:tcPr>
            <w:tcW w:w="1196" w:type="dxa"/>
            <w:tcBorders>
              <w:top w:val="nil"/>
              <w:left w:val="nil"/>
              <w:bottom w:val="single" w:color="auto" w:sz="4" w:space="0"/>
              <w:right w:val="single" w:color="auto" w:sz="4" w:space="0"/>
            </w:tcBorders>
            <w:shd w:val="clear" w:color="auto" w:fill="auto"/>
            <w:vAlign w:val="center"/>
          </w:tcPr>
          <w:p w14:paraId="11B2C3B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2900</w:t>
            </w:r>
          </w:p>
        </w:tc>
        <w:tc>
          <w:tcPr>
            <w:tcW w:w="658" w:type="dxa"/>
            <w:tcBorders>
              <w:top w:val="nil"/>
              <w:left w:val="nil"/>
              <w:bottom w:val="single" w:color="auto" w:sz="4" w:space="0"/>
              <w:right w:val="single" w:color="auto" w:sz="4" w:space="0"/>
            </w:tcBorders>
            <w:shd w:val="clear" w:color="auto" w:fill="auto"/>
            <w:vAlign w:val="center"/>
          </w:tcPr>
          <w:p w14:paraId="3C61EAB7">
            <w:pPr>
              <w:widowControl/>
              <w:spacing w:line="240" w:lineRule="exact"/>
              <w:jc w:val="center"/>
              <w:rPr>
                <w:rFonts w:hint="eastAsia" w:ascii="仿宋_GB2312" w:hAnsi="仿宋_GB2312" w:eastAsia="仿宋_GB2312" w:cs="仿宋_GB2312"/>
                <w:color w:val="auto"/>
                <w:kern w:val="0"/>
                <w:sz w:val="20"/>
                <w:szCs w:val="20"/>
              </w:rPr>
            </w:pPr>
          </w:p>
        </w:tc>
      </w:tr>
      <w:tr w14:paraId="35622304">
        <w:tblPrEx>
          <w:tblCellMar>
            <w:top w:w="0" w:type="dxa"/>
            <w:left w:w="51" w:type="dxa"/>
            <w:bottom w:w="0" w:type="dxa"/>
            <w:right w:w="51" w:type="dxa"/>
          </w:tblCellMar>
        </w:tblPrEx>
        <w:trPr>
          <w:trHeight w:val="172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DA859A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2-2-21</w:t>
            </w:r>
          </w:p>
        </w:tc>
        <w:tc>
          <w:tcPr>
            <w:tcW w:w="2069" w:type="dxa"/>
            <w:tcBorders>
              <w:top w:val="nil"/>
              <w:left w:val="nil"/>
              <w:bottom w:val="single" w:color="auto" w:sz="4" w:space="0"/>
              <w:right w:val="single" w:color="auto" w:sz="4" w:space="0"/>
            </w:tcBorders>
            <w:shd w:val="clear" w:color="auto" w:fill="auto"/>
            <w:vAlign w:val="center"/>
          </w:tcPr>
          <w:p w14:paraId="7E560E0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左贡县真空弄巴治理</w:t>
            </w:r>
          </w:p>
        </w:tc>
        <w:tc>
          <w:tcPr>
            <w:tcW w:w="932" w:type="dxa"/>
            <w:tcBorders>
              <w:top w:val="nil"/>
              <w:left w:val="nil"/>
              <w:bottom w:val="single" w:color="auto" w:sz="4" w:space="0"/>
              <w:right w:val="single" w:color="auto" w:sz="4" w:space="0"/>
            </w:tcBorders>
            <w:shd w:val="clear" w:color="auto" w:fill="auto"/>
            <w:vAlign w:val="center"/>
          </w:tcPr>
          <w:p w14:paraId="0207240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左贡县</w:t>
            </w:r>
          </w:p>
        </w:tc>
        <w:tc>
          <w:tcPr>
            <w:tcW w:w="732" w:type="dxa"/>
            <w:tcBorders>
              <w:top w:val="nil"/>
              <w:left w:val="nil"/>
              <w:bottom w:val="single" w:color="auto" w:sz="4" w:space="0"/>
              <w:right w:val="single" w:color="auto" w:sz="4" w:space="0"/>
            </w:tcBorders>
            <w:shd w:val="clear" w:color="auto" w:fill="auto"/>
            <w:vAlign w:val="center"/>
          </w:tcPr>
          <w:p w14:paraId="04DB740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3FBC45B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E9E3B7C">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综合治理河道长度16.3公里，新建防洪堤总长11.5</w:t>
            </w:r>
            <w:r>
              <w:rPr>
                <w:rFonts w:hint="eastAsia" w:ascii="仿宋_GB2312" w:hAnsi="仿宋_GB2312" w:eastAsia="仿宋_GB2312" w:cs="仿宋_GB2312"/>
                <w:color w:val="auto"/>
                <w:kern w:val="0"/>
                <w:sz w:val="20"/>
                <w:szCs w:val="20"/>
                <w:lang w:eastAsia="zh-CN"/>
              </w:rPr>
              <w:t>公里</w:t>
            </w:r>
            <w:r>
              <w:rPr>
                <w:rFonts w:hint="eastAsia" w:ascii="仿宋_GB2312" w:hAnsi="仿宋_GB2312" w:eastAsia="仿宋_GB2312" w:cs="仿宋_GB2312"/>
                <w:color w:val="auto"/>
                <w:kern w:val="0"/>
                <w:sz w:val="20"/>
                <w:szCs w:val="20"/>
              </w:rPr>
              <w:t>，防洪标准10年一遇，河道清淤5.8公里，保护左贡县中林卡乡瓦堆、瓦美、若巴村共计 1480 人口生命财产安全及 1723亩耕地</w:t>
            </w:r>
          </w:p>
        </w:tc>
        <w:tc>
          <w:tcPr>
            <w:tcW w:w="932" w:type="dxa"/>
            <w:tcBorders>
              <w:top w:val="nil"/>
              <w:left w:val="nil"/>
              <w:bottom w:val="single" w:color="auto" w:sz="4" w:space="0"/>
              <w:right w:val="single" w:color="auto" w:sz="4" w:space="0"/>
            </w:tcBorders>
            <w:shd w:val="clear" w:color="auto" w:fill="auto"/>
            <w:vAlign w:val="center"/>
          </w:tcPr>
          <w:p w14:paraId="732A5D7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946" w:type="dxa"/>
            <w:tcBorders>
              <w:top w:val="nil"/>
              <w:left w:val="nil"/>
              <w:bottom w:val="single" w:color="auto" w:sz="4" w:space="0"/>
              <w:right w:val="single" w:color="auto" w:sz="4" w:space="0"/>
            </w:tcBorders>
            <w:shd w:val="clear" w:color="auto" w:fill="auto"/>
            <w:vAlign w:val="center"/>
          </w:tcPr>
          <w:p w14:paraId="539058C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0CCF3B8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48BDF46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2170</w:t>
            </w:r>
          </w:p>
        </w:tc>
        <w:tc>
          <w:tcPr>
            <w:tcW w:w="1196" w:type="dxa"/>
            <w:tcBorders>
              <w:top w:val="nil"/>
              <w:left w:val="nil"/>
              <w:bottom w:val="single" w:color="auto" w:sz="4" w:space="0"/>
              <w:right w:val="single" w:color="auto" w:sz="4" w:space="0"/>
            </w:tcBorders>
            <w:shd w:val="clear" w:color="auto" w:fill="auto"/>
            <w:vAlign w:val="center"/>
          </w:tcPr>
          <w:p w14:paraId="4BA93EA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2170</w:t>
            </w:r>
          </w:p>
        </w:tc>
        <w:tc>
          <w:tcPr>
            <w:tcW w:w="658" w:type="dxa"/>
            <w:tcBorders>
              <w:top w:val="nil"/>
              <w:left w:val="nil"/>
              <w:bottom w:val="single" w:color="auto" w:sz="4" w:space="0"/>
              <w:right w:val="single" w:color="auto" w:sz="4" w:space="0"/>
            </w:tcBorders>
            <w:shd w:val="clear" w:color="auto" w:fill="auto"/>
            <w:vAlign w:val="center"/>
          </w:tcPr>
          <w:p w14:paraId="705AB995">
            <w:pPr>
              <w:widowControl/>
              <w:spacing w:line="240" w:lineRule="exact"/>
              <w:jc w:val="center"/>
              <w:rPr>
                <w:rFonts w:hint="eastAsia" w:ascii="仿宋_GB2312" w:hAnsi="仿宋_GB2312" w:eastAsia="仿宋_GB2312" w:cs="仿宋_GB2312"/>
                <w:color w:val="auto"/>
                <w:kern w:val="0"/>
                <w:sz w:val="20"/>
                <w:szCs w:val="20"/>
              </w:rPr>
            </w:pPr>
          </w:p>
        </w:tc>
      </w:tr>
      <w:tr w14:paraId="33105B2A">
        <w:tblPrEx>
          <w:tblCellMar>
            <w:top w:w="0" w:type="dxa"/>
            <w:left w:w="51" w:type="dxa"/>
            <w:bottom w:w="0" w:type="dxa"/>
            <w:right w:w="51" w:type="dxa"/>
          </w:tblCellMar>
        </w:tblPrEx>
        <w:trPr>
          <w:trHeight w:val="189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0B8FCD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2-2-22</w:t>
            </w:r>
          </w:p>
        </w:tc>
        <w:tc>
          <w:tcPr>
            <w:tcW w:w="2069" w:type="dxa"/>
            <w:tcBorders>
              <w:top w:val="nil"/>
              <w:left w:val="nil"/>
              <w:bottom w:val="single" w:color="auto" w:sz="4" w:space="0"/>
              <w:right w:val="single" w:color="auto" w:sz="4" w:space="0"/>
            </w:tcBorders>
            <w:shd w:val="clear" w:color="auto" w:fill="auto"/>
            <w:vAlign w:val="center"/>
          </w:tcPr>
          <w:p w14:paraId="0AB5B7A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边坝县麦曲边坝镇河道综合治理工程</w:t>
            </w:r>
          </w:p>
        </w:tc>
        <w:tc>
          <w:tcPr>
            <w:tcW w:w="932" w:type="dxa"/>
            <w:tcBorders>
              <w:top w:val="nil"/>
              <w:left w:val="nil"/>
              <w:bottom w:val="single" w:color="auto" w:sz="4" w:space="0"/>
              <w:right w:val="single" w:color="auto" w:sz="4" w:space="0"/>
            </w:tcBorders>
            <w:shd w:val="clear" w:color="auto" w:fill="auto"/>
            <w:vAlign w:val="center"/>
          </w:tcPr>
          <w:p w14:paraId="7242E84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w:t>
            </w:r>
          </w:p>
        </w:tc>
        <w:tc>
          <w:tcPr>
            <w:tcW w:w="732" w:type="dxa"/>
            <w:tcBorders>
              <w:top w:val="nil"/>
              <w:left w:val="nil"/>
              <w:bottom w:val="single" w:color="auto" w:sz="4" w:space="0"/>
              <w:right w:val="single" w:color="auto" w:sz="4" w:space="0"/>
            </w:tcBorders>
            <w:shd w:val="clear" w:color="auto" w:fill="auto"/>
            <w:vAlign w:val="center"/>
          </w:tcPr>
          <w:p w14:paraId="5E31D1A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DDF73C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25DCAE68">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综合治理河长22.5公里，新建堤防长度7.06公里，其中左岸长3.53公里，右岸长3.52公里，左岸5级堤防，右岸4级堤防，河道清淤15.8公里，保护边坝镇政府、学校、寺庙等448人、200亩青稞地及规划中的3000亩青稞基地</w:t>
            </w:r>
          </w:p>
        </w:tc>
        <w:tc>
          <w:tcPr>
            <w:tcW w:w="932" w:type="dxa"/>
            <w:tcBorders>
              <w:top w:val="nil"/>
              <w:left w:val="nil"/>
              <w:bottom w:val="single" w:color="auto" w:sz="4" w:space="0"/>
              <w:right w:val="single" w:color="auto" w:sz="4" w:space="0"/>
            </w:tcBorders>
            <w:shd w:val="clear" w:color="auto" w:fill="auto"/>
            <w:vAlign w:val="center"/>
          </w:tcPr>
          <w:p w14:paraId="1A67195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0F979BB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4348837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7AA09D7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3000</w:t>
            </w:r>
          </w:p>
        </w:tc>
        <w:tc>
          <w:tcPr>
            <w:tcW w:w="1196" w:type="dxa"/>
            <w:tcBorders>
              <w:top w:val="nil"/>
              <w:left w:val="nil"/>
              <w:bottom w:val="single" w:color="auto" w:sz="4" w:space="0"/>
              <w:right w:val="single" w:color="auto" w:sz="4" w:space="0"/>
            </w:tcBorders>
            <w:shd w:val="clear" w:color="auto" w:fill="auto"/>
            <w:vAlign w:val="center"/>
          </w:tcPr>
          <w:p w14:paraId="4AF231B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3000</w:t>
            </w:r>
          </w:p>
        </w:tc>
        <w:tc>
          <w:tcPr>
            <w:tcW w:w="658" w:type="dxa"/>
            <w:tcBorders>
              <w:top w:val="nil"/>
              <w:left w:val="nil"/>
              <w:bottom w:val="single" w:color="auto" w:sz="4" w:space="0"/>
              <w:right w:val="single" w:color="auto" w:sz="4" w:space="0"/>
            </w:tcBorders>
            <w:shd w:val="clear" w:color="auto" w:fill="auto"/>
            <w:vAlign w:val="center"/>
          </w:tcPr>
          <w:p w14:paraId="4A6C4F33">
            <w:pPr>
              <w:widowControl/>
              <w:spacing w:line="240" w:lineRule="exact"/>
              <w:jc w:val="center"/>
              <w:rPr>
                <w:rFonts w:hint="eastAsia" w:ascii="仿宋_GB2312" w:hAnsi="仿宋_GB2312" w:eastAsia="仿宋_GB2312" w:cs="仿宋_GB2312"/>
                <w:color w:val="auto"/>
                <w:kern w:val="0"/>
                <w:sz w:val="20"/>
                <w:szCs w:val="20"/>
              </w:rPr>
            </w:pPr>
          </w:p>
        </w:tc>
      </w:tr>
      <w:tr w14:paraId="5A36909B">
        <w:tblPrEx>
          <w:tblCellMar>
            <w:top w:w="0" w:type="dxa"/>
            <w:left w:w="51" w:type="dxa"/>
            <w:bottom w:w="0" w:type="dxa"/>
            <w:right w:w="51" w:type="dxa"/>
          </w:tblCellMar>
        </w:tblPrEx>
        <w:trPr>
          <w:trHeight w:val="16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3194ED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2-2-23</w:t>
            </w:r>
          </w:p>
        </w:tc>
        <w:tc>
          <w:tcPr>
            <w:tcW w:w="2069" w:type="dxa"/>
            <w:tcBorders>
              <w:top w:val="nil"/>
              <w:left w:val="nil"/>
              <w:bottom w:val="single" w:color="auto" w:sz="4" w:space="0"/>
              <w:right w:val="single" w:color="auto" w:sz="4" w:space="0"/>
            </w:tcBorders>
            <w:shd w:val="clear" w:color="auto" w:fill="auto"/>
            <w:vAlign w:val="center"/>
          </w:tcPr>
          <w:p w14:paraId="2136131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贡觉县纳曲河河道治理工程</w:t>
            </w:r>
          </w:p>
        </w:tc>
        <w:tc>
          <w:tcPr>
            <w:tcW w:w="932" w:type="dxa"/>
            <w:tcBorders>
              <w:top w:val="nil"/>
              <w:left w:val="nil"/>
              <w:bottom w:val="single" w:color="auto" w:sz="4" w:space="0"/>
              <w:right w:val="single" w:color="auto" w:sz="4" w:space="0"/>
            </w:tcBorders>
            <w:shd w:val="clear" w:color="auto" w:fill="auto"/>
            <w:vAlign w:val="center"/>
          </w:tcPr>
          <w:p w14:paraId="0C7BB93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w:t>
            </w:r>
          </w:p>
        </w:tc>
        <w:tc>
          <w:tcPr>
            <w:tcW w:w="732" w:type="dxa"/>
            <w:tcBorders>
              <w:top w:val="nil"/>
              <w:left w:val="nil"/>
              <w:bottom w:val="single" w:color="auto" w:sz="4" w:space="0"/>
              <w:right w:val="single" w:color="auto" w:sz="4" w:space="0"/>
            </w:tcBorders>
            <w:shd w:val="clear" w:color="auto" w:fill="auto"/>
            <w:vAlign w:val="center"/>
          </w:tcPr>
          <w:p w14:paraId="230CF7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9AA788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正在编制初设</w:t>
            </w:r>
          </w:p>
        </w:tc>
        <w:tc>
          <w:tcPr>
            <w:tcW w:w="3116" w:type="dxa"/>
            <w:tcBorders>
              <w:top w:val="nil"/>
              <w:left w:val="nil"/>
              <w:bottom w:val="single" w:color="auto" w:sz="4" w:space="0"/>
              <w:right w:val="single" w:color="auto" w:sz="4" w:space="0"/>
            </w:tcBorders>
            <w:shd w:val="clear" w:color="auto" w:fill="auto"/>
            <w:vAlign w:val="center"/>
          </w:tcPr>
          <w:p w14:paraId="213F3FFC">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综合治理长度16.5公里，新建防洪堤总长13.5公里，防洪标准10年一遇，河道清淤3.5公里，保护莫洛镇爱玉等八村241户1782人的生命财产安全和600亩耕地、300亩草地安全</w:t>
            </w:r>
          </w:p>
        </w:tc>
        <w:tc>
          <w:tcPr>
            <w:tcW w:w="932" w:type="dxa"/>
            <w:tcBorders>
              <w:top w:val="nil"/>
              <w:left w:val="nil"/>
              <w:bottom w:val="single" w:color="auto" w:sz="4" w:space="0"/>
              <w:right w:val="single" w:color="auto" w:sz="4" w:space="0"/>
            </w:tcBorders>
            <w:shd w:val="clear" w:color="auto" w:fill="auto"/>
            <w:vAlign w:val="center"/>
          </w:tcPr>
          <w:p w14:paraId="0321DF8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946" w:type="dxa"/>
            <w:tcBorders>
              <w:top w:val="nil"/>
              <w:left w:val="nil"/>
              <w:bottom w:val="single" w:color="auto" w:sz="4" w:space="0"/>
              <w:right w:val="single" w:color="auto" w:sz="4" w:space="0"/>
            </w:tcBorders>
            <w:shd w:val="clear" w:color="auto" w:fill="auto"/>
            <w:vAlign w:val="center"/>
          </w:tcPr>
          <w:p w14:paraId="0AEB4E6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55E7B1F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34EFD6E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2200</w:t>
            </w:r>
          </w:p>
        </w:tc>
        <w:tc>
          <w:tcPr>
            <w:tcW w:w="1196" w:type="dxa"/>
            <w:tcBorders>
              <w:top w:val="nil"/>
              <w:left w:val="nil"/>
              <w:bottom w:val="single" w:color="auto" w:sz="4" w:space="0"/>
              <w:right w:val="single" w:color="auto" w:sz="4" w:space="0"/>
            </w:tcBorders>
            <w:shd w:val="clear" w:color="auto" w:fill="auto"/>
            <w:vAlign w:val="center"/>
          </w:tcPr>
          <w:p w14:paraId="474BC46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2200</w:t>
            </w:r>
          </w:p>
        </w:tc>
        <w:tc>
          <w:tcPr>
            <w:tcW w:w="658" w:type="dxa"/>
            <w:tcBorders>
              <w:top w:val="nil"/>
              <w:left w:val="nil"/>
              <w:bottom w:val="single" w:color="auto" w:sz="4" w:space="0"/>
              <w:right w:val="single" w:color="auto" w:sz="4" w:space="0"/>
            </w:tcBorders>
            <w:shd w:val="clear" w:color="auto" w:fill="auto"/>
            <w:vAlign w:val="center"/>
          </w:tcPr>
          <w:p w14:paraId="5FB6D026">
            <w:pPr>
              <w:widowControl/>
              <w:spacing w:line="240" w:lineRule="exact"/>
              <w:jc w:val="center"/>
              <w:rPr>
                <w:rFonts w:hint="eastAsia" w:ascii="仿宋_GB2312" w:hAnsi="仿宋_GB2312" w:eastAsia="仿宋_GB2312" w:cs="仿宋_GB2312"/>
                <w:color w:val="auto"/>
                <w:kern w:val="0"/>
                <w:sz w:val="20"/>
                <w:szCs w:val="20"/>
              </w:rPr>
            </w:pPr>
          </w:p>
        </w:tc>
      </w:tr>
      <w:tr w14:paraId="2320A24E">
        <w:tblPrEx>
          <w:tblCellMar>
            <w:top w:w="0" w:type="dxa"/>
            <w:left w:w="51" w:type="dxa"/>
            <w:bottom w:w="0" w:type="dxa"/>
            <w:right w:w="51" w:type="dxa"/>
          </w:tblCellMar>
        </w:tblPrEx>
        <w:trPr>
          <w:trHeight w:val="144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F5BF50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2-2-24</w:t>
            </w:r>
          </w:p>
        </w:tc>
        <w:tc>
          <w:tcPr>
            <w:tcW w:w="2069" w:type="dxa"/>
            <w:tcBorders>
              <w:top w:val="nil"/>
              <w:left w:val="nil"/>
              <w:bottom w:val="single" w:color="auto" w:sz="4" w:space="0"/>
              <w:right w:val="single" w:color="auto" w:sz="4" w:space="0"/>
            </w:tcBorders>
            <w:shd w:val="clear" w:color="auto" w:fill="auto"/>
            <w:vAlign w:val="center"/>
          </w:tcPr>
          <w:p w14:paraId="2DAE4B2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卡若区热曲河道治理工程</w:t>
            </w:r>
          </w:p>
        </w:tc>
        <w:tc>
          <w:tcPr>
            <w:tcW w:w="932" w:type="dxa"/>
            <w:tcBorders>
              <w:top w:val="nil"/>
              <w:left w:val="nil"/>
              <w:bottom w:val="single" w:color="auto" w:sz="4" w:space="0"/>
              <w:right w:val="single" w:color="auto" w:sz="4" w:space="0"/>
            </w:tcBorders>
            <w:shd w:val="clear" w:color="auto" w:fill="auto"/>
            <w:vAlign w:val="center"/>
          </w:tcPr>
          <w:p w14:paraId="4E2B173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w:t>
            </w:r>
          </w:p>
        </w:tc>
        <w:tc>
          <w:tcPr>
            <w:tcW w:w="732" w:type="dxa"/>
            <w:tcBorders>
              <w:top w:val="nil"/>
              <w:left w:val="nil"/>
              <w:bottom w:val="single" w:color="auto" w:sz="4" w:space="0"/>
              <w:right w:val="single" w:color="auto" w:sz="4" w:space="0"/>
            </w:tcBorders>
            <w:shd w:val="clear" w:color="auto" w:fill="auto"/>
            <w:vAlign w:val="center"/>
          </w:tcPr>
          <w:p w14:paraId="4C8BAC7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3255B39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4CB2CF7">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综合治理河道13.5公里，新建堤防6.5公里，防洪标准10年一遇，穿堤涵管342米，清淤疏浚5.8公里，保护妥坝乡康巴村肯库、克可康巴、达瓦段和柴维乡多拉多村郭华段</w:t>
            </w:r>
          </w:p>
        </w:tc>
        <w:tc>
          <w:tcPr>
            <w:tcW w:w="932" w:type="dxa"/>
            <w:tcBorders>
              <w:top w:val="nil"/>
              <w:left w:val="nil"/>
              <w:bottom w:val="single" w:color="auto" w:sz="4" w:space="0"/>
              <w:right w:val="single" w:color="auto" w:sz="4" w:space="0"/>
            </w:tcBorders>
            <w:shd w:val="clear" w:color="auto" w:fill="auto"/>
            <w:vAlign w:val="center"/>
          </w:tcPr>
          <w:p w14:paraId="0647AEA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7CB384F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381503B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2985ACC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1196" w:type="dxa"/>
            <w:tcBorders>
              <w:top w:val="nil"/>
              <w:left w:val="nil"/>
              <w:bottom w:val="single" w:color="auto" w:sz="4" w:space="0"/>
              <w:right w:val="single" w:color="auto" w:sz="4" w:space="0"/>
            </w:tcBorders>
            <w:shd w:val="clear" w:color="auto" w:fill="auto"/>
            <w:vAlign w:val="center"/>
          </w:tcPr>
          <w:p w14:paraId="0B3A0A2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2100</w:t>
            </w:r>
          </w:p>
        </w:tc>
        <w:tc>
          <w:tcPr>
            <w:tcW w:w="658" w:type="dxa"/>
            <w:tcBorders>
              <w:top w:val="nil"/>
              <w:left w:val="nil"/>
              <w:bottom w:val="single" w:color="auto" w:sz="4" w:space="0"/>
              <w:right w:val="single" w:color="auto" w:sz="4" w:space="0"/>
            </w:tcBorders>
            <w:shd w:val="clear" w:color="auto" w:fill="auto"/>
            <w:vAlign w:val="center"/>
          </w:tcPr>
          <w:p w14:paraId="76C13F88">
            <w:pPr>
              <w:widowControl/>
              <w:spacing w:line="240" w:lineRule="exact"/>
              <w:jc w:val="center"/>
              <w:rPr>
                <w:rFonts w:hint="eastAsia" w:ascii="仿宋_GB2312" w:hAnsi="仿宋_GB2312" w:eastAsia="仿宋_GB2312" w:cs="仿宋_GB2312"/>
                <w:color w:val="auto"/>
                <w:kern w:val="0"/>
                <w:sz w:val="20"/>
                <w:szCs w:val="20"/>
              </w:rPr>
            </w:pPr>
          </w:p>
        </w:tc>
      </w:tr>
      <w:tr w14:paraId="65030B31">
        <w:tblPrEx>
          <w:tblCellMar>
            <w:top w:w="0" w:type="dxa"/>
            <w:left w:w="51" w:type="dxa"/>
            <w:bottom w:w="0" w:type="dxa"/>
            <w:right w:w="51" w:type="dxa"/>
          </w:tblCellMar>
        </w:tblPrEx>
        <w:trPr>
          <w:trHeight w:val="33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EA303E4">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2-3</w:t>
            </w:r>
          </w:p>
        </w:tc>
        <w:tc>
          <w:tcPr>
            <w:tcW w:w="2069" w:type="dxa"/>
            <w:tcBorders>
              <w:top w:val="nil"/>
              <w:left w:val="nil"/>
              <w:bottom w:val="single" w:color="auto" w:sz="4" w:space="0"/>
              <w:right w:val="single" w:color="auto" w:sz="4" w:space="0"/>
            </w:tcBorders>
            <w:shd w:val="clear" w:color="auto" w:fill="auto"/>
            <w:vAlign w:val="center"/>
          </w:tcPr>
          <w:p w14:paraId="21C97233">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山洪灾害防治</w:t>
            </w:r>
          </w:p>
        </w:tc>
        <w:tc>
          <w:tcPr>
            <w:tcW w:w="932" w:type="dxa"/>
            <w:tcBorders>
              <w:top w:val="nil"/>
              <w:left w:val="nil"/>
              <w:bottom w:val="single" w:color="auto" w:sz="4" w:space="0"/>
              <w:right w:val="single" w:color="auto" w:sz="4" w:space="0"/>
            </w:tcBorders>
            <w:shd w:val="clear" w:color="auto" w:fill="auto"/>
            <w:vAlign w:val="center"/>
          </w:tcPr>
          <w:p w14:paraId="41BD5358">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7</w:t>
            </w:r>
          </w:p>
        </w:tc>
        <w:tc>
          <w:tcPr>
            <w:tcW w:w="732" w:type="dxa"/>
            <w:tcBorders>
              <w:top w:val="nil"/>
              <w:left w:val="nil"/>
              <w:bottom w:val="single" w:color="auto" w:sz="4" w:space="0"/>
              <w:right w:val="single" w:color="auto" w:sz="4" w:space="0"/>
            </w:tcBorders>
            <w:shd w:val="clear" w:color="auto" w:fill="auto"/>
            <w:vAlign w:val="center"/>
          </w:tcPr>
          <w:p w14:paraId="3F7DB7E2">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18FE2C4A">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46928791">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07DDFAD9">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2FD049CD">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71C2BE69">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0AEAEFBD">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6653</w:t>
            </w:r>
          </w:p>
        </w:tc>
        <w:tc>
          <w:tcPr>
            <w:tcW w:w="1196" w:type="dxa"/>
            <w:tcBorders>
              <w:top w:val="nil"/>
              <w:left w:val="nil"/>
              <w:bottom w:val="single" w:color="auto" w:sz="4" w:space="0"/>
              <w:right w:val="single" w:color="auto" w:sz="4" w:space="0"/>
            </w:tcBorders>
            <w:shd w:val="clear" w:color="auto" w:fill="auto"/>
            <w:vAlign w:val="center"/>
          </w:tcPr>
          <w:p w14:paraId="09FBC59C">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6653</w:t>
            </w:r>
          </w:p>
        </w:tc>
        <w:tc>
          <w:tcPr>
            <w:tcW w:w="658" w:type="dxa"/>
            <w:tcBorders>
              <w:top w:val="nil"/>
              <w:left w:val="nil"/>
              <w:bottom w:val="single" w:color="auto" w:sz="4" w:space="0"/>
              <w:right w:val="single" w:color="auto" w:sz="4" w:space="0"/>
            </w:tcBorders>
            <w:shd w:val="clear" w:color="auto" w:fill="auto"/>
            <w:vAlign w:val="center"/>
          </w:tcPr>
          <w:p w14:paraId="059F2B36">
            <w:pPr>
              <w:widowControl/>
              <w:spacing w:line="240" w:lineRule="exact"/>
              <w:jc w:val="center"/>
              <w:rPr>
                <w:rFonts w:hint="eastAsia" w:ascii="仿宋_GB2312" w:hAnsi="仿宋_GB2312" w:eastAsia="仿宋_GB2312" w:cs="仿宋_GB2312"/>
                <w:b/>
                <w:bCs/>
                <w:color w:val="auto"/>
                <w:kern w:val="0"/>
                <w:sz w:val="20"/>
                <w:szCs w:val="20"/>
              </w:rPr>
            </w:pPr>
          </w:p>
        </w:tc>
      </w:tr>
      <w:tr w14:paraId="76FB686F">
        <w:tblPrEx>
          <w:tblCellMar>
            <w:top w:w="0" w:type="dxa"/>
            <w:left w:w="51" w:type="dxa"/>
            <w:bottom w:w="0" w:type="dxa"/>
            <w:right w:w="51" w:type="dxa"/>
          </w:tblCellMar>
        </w:tblPrEx>
        <w:trPr>
          <w:trHeight w:val="81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AF18FA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2-3-1</w:t>
            </w:r>
          </w:p>
        </w:tc>
        <w:tc>
          <w:tcPr>
            <w:tcW w:w="2069" w:type="dxa"/>
            <w:tcBorders>
              <w:top w:val="nil"/>
              <w:left w:val="nil"/>
              <w:bottom w:val="single" w:color="auto" w:sz="4" w:space="0"/>
              <w:right w:val="single" w:color="auto" w:sz="4" w:space="0"/>
            </w:tcBorders>
            <w:shd w:val="clear" w:color="auto" w:fill="auto"/>
            <w:vAlign w:val="center"/>
          </w:tcPr>
          <w:p w14:paraId="16EBD4A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江达县汪布顶乡来玛村山洪沟治理工程</w:t>
            </w:r>
          </w:p>
        </w:tc>
        <w:tc>
          <w:tcPr>
            <w:tcW w:w="932" w:type="dxa"/>
            <w:tcBorders>
              <w:top w:val="nil"/>
              <w:left w:val="nil"/>
              <w:bottom w:val="single" w:color="auto" w:sz="4" w:space="0"/>
              <w:right w:val="single" w:color="auto" w:sz="4" w:space="0"/>
            </w:tcBorders>
            <w:shd w:val="clear" w:color="auto" w:fill="auto"/>
            <w:vAlign w:val="center"/>
          </w:tcPr>
          <w:p w14:paraId="1577DD4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7A7C4AD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57FF9E2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初设待批</w:t>
            </w:r>
          </w:p>
        </w:tc>
        <w:tc>
          <w:tcPr>
            <w:tcW w:w="3116" w:type="dxa"/>
            <w:tcBorders>
              <w:top w:val="nil"/>
              <w:left w:val="nil"/>
              <w:bottom w:val="single" w:color="auto" w:sz="4" w:space="0"/>
              <w:right w:val="single" w:color="auto" w:sz="4" w:space="0"/>
            </w:tcBorders>
            <w:shd w:val="clear" w:color="auto" w:fill="auto"/>
            <w:vAlign w:val="center"/>
          </w:tcPr>
          <w:p w14:paraId="503DA4AE">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治理山洪沟2.65公里，新建堤防1.66公里、排洪沟1.49公里，涵洞3座</w:t>
            </w:r>
          </w:p>
        </w:tc>
        <w:tc>
          <w:tcPr>
            <w:tcW w:w="932" w:type="dxa"/>
            <w:tcBorders>
              <w:top w:val="nil"/>
              <w:left w:val="nil"/>
              <w:bottom w:val="single" w:color="auto" w:sz="4" w:space="0"/>
              <w:right w:val="single" w:color="auto" w:sz="4" w:space="0"/>
            </w:tcBorders>
            <w:shd w:val="clear" w:color="auto" w:fill="auto"/>
            <w:vAlign w:val="center"/>
          </w:tcPr>
          <w:p w14:paraId="0A7958E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1D47080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1D16046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11B1712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850</w:t>
            </w:r>
          </w:p>
        </w:tc>
        <w:tc>
          <w:tcPr>
            <w:tcW w:w="1196" w:type="dxa"/>
            <w:tcBorders>
              <w:top w:val="nil"/>
              <w:left w:val="nil"/>
              <w:bottom w:val="single" w:color="auto" w:sz="4" w:space="0"/>
              <w:right w:val="single" w:color="auto" w:sz="4" w:space="0"/>
            </w:tcBorders>
            <w:shd w:val="clear" w:color="auto" w:fill="auto"/>
            <w:vAlign w:val="center"/>
          </w:tcPr>
          <w:p w14:paraId="093F25A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850</w:t>
            </w:r>
          </w:p>
        </w:tc>
        <w:tc>
          <w:tcPr>
            <w:tcW w:w="658" w:type="dxa"/>
            <w:tcBorders>
              <w:top w:val="nil"/>
              <w:left w:val="nil"/>
              <w:bottom w:val="single" w:color="auto" w:sz="4" w:space="0"/>
              <w:right w:val="single" w:color="auto" w:sz="4" w:space="0"/>
            </w:tcBorders>
            <w:shd w:val="clear" w:color="auto" w:fill="auto"/>
            <w:vAlign w:val="center"/>
          </w:tcPr>
          <w:p w14:paraId="328B39DB">
            <w:pPr>
              <w:widowControl/>
              <w:spacing w:line="240" w:lineRule="exact"/>
              <w:jc w:val="center"/>
              <w:rPr>
                <w:rFonts w:hint="eastAsia" w:ascii="仿宋_GB2312" w:hAnsi="仿宋_GB2312" w:eastAsia="仿宋_GB2312" w:cs="仿宋_GB2312"/>
                <w:color w:val="auto"/>
                <w:kern w:val="0"/>
                <w:sz w:val="20"/>
                <w:szCs w:val="20"/>
              </w:rPr>
            </w:pPr>
          </w:p>
        </w:tc>
      </w:tr>
      <w:tr w14:paraId="67CA61FA">
        <w:tblPrEx>
          <w:tblCellMar>
            <w:top w:w="0" w:type="dxa"/>
            <w:left w:w="51" w:type="dxa"/>
            <w:bottom w:w="0" w:type="dxa"/>
            <w:right w:w="51" w:type="dxa"/>
          </w:tblCellMar>
        </w:tblPrEx>
        <w:trPr>
          <w:trHeight w:val="67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BECBEB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2-3-2</w:t>
            </w:r>
          </w:p>
        </w:tc>
        <w:tc>
          <w:tcPr>
            <w:tcW w:w="2069" w:type="dxa"/>
            <w:tcBorders>
              <w:top w:val="nil"/>
              <w:left w:val="nil"/>
              <w:bottom w:val="single" w:color="auto" w:sz="4" w:space="0"/>
              <w:right w:val="single" w:color="auto" w:sz="4" w:space="0"/>
            </w:tcBorders>
            <w:shd w:val="clear" w:color="auto" w:fill="auto"/>
            <w:vAlign w:val="center"/>
          </w:tcPr>
          <w:p w14:paraId="194AE20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丁青县尺牍镇乌巴村瓦秀山洪沟治理项目</w:t>
            </w:r>
          </w:p>
        </w:tc>
        <w:tc>
          <w:tcPr>
            <w:tcW w:w="932" w:type="dxa"/>
            <w:tcBorders>
              <w:top w:val="nil"/>
              <w:left w:val="nil"/>
              <w:bottom w:val="single" w:color="auto" w:sz="4" w:space="0"/>
              <w:right w:val="single" w:color="auto" w:sz="4" w:space="0"/>
            </w:tcBorders>
            <w:shd w:val="clear" w:color="auto" w:fill="auto"/>
            <w:vAlign w:val="center"/>
          </w:tcPr>
          <w:p w14:paraId="65AC6FC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丁青县</w:t>
            </w:r>
          </w:p>
        </w:tc>
        <w:tc>
          <w:tcPr>
            <w:tcW w:w="732" w:type="dxa"/>
            <w:tcBorders>
              <w:top w:val="nil"/>
              <w:left w:val="nil"/>
              <w:bottom w:val="single" w:color="auto" w:sz="4" w:space="0"/>
              <w:right w:val="single" w:color="auto" w:sz="4" w:space="0"/>
            </w:tcBorders>
            <w:shd w:val="clear" w:color="auto" w:fill="auto"/>
            <w:vAlign w:val="center"/>
          </w:tcPr>
          <w:p w14:paraId="1CFB6E7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4DB981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3D21F301">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新建排洪渠3.2</w:t>
            </w:r>
            <w:r>
              <w:rPr>
                <w:rFonts w:hint="eastAsia" w:ascii="仿宋_GB2312" w:hAnsi="仿宋_GB2312" w:eastAsia="仿宋_GB2312" w:cs="仿宋_GB2312"/>
                <w:color w:val="auto"/>
                <w:kern w:val="0"/>
                <w:sz w:val="20"/>
                <w:szCs w:val="20"/>
                <w:lang w:eastAsia="zh-CN"/>
              </w:rPr>
              <w:t>公里</w:t>
            </w:r>
          </w:p>
        </w:tc>
        <w:tc>
          <w:tcPr>
            <w:tcW w:w="932" w:type="dxa"/>
            <w:tcBorders>
              <w:top w:val="nil"/>
              <w:left w:val="nil"/>
              <w:bottom w:val="single" w:color="auto" w:sz="4" w:space="0"/>
              <w:right w:val="single" w:color="auto" w:sz="4" w:space="0"/>
            </w:tcBorders>
            <w:shd w:val="clear" w:color="auto" w:fill="auto"/>
            <w:vAlign w:val="center"/>
          </w:tcPr>
          <w:p w14:paraId="4A8A382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64C52E7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12E563D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3B1B692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864</w:t>
            </w:r>
          </w:p>
        </w:tc>
        <w:tc>
          <w:tcPr>
            <w:tcW w:w="1196" w:type="dxa"/>
            <w:tcBorders>
              <w:top w:val="nil"/>
              <w:left w:val="nil"/>
              <w:bottom w:val="single" w:color="auto" w:sz="4" w:space="0"/>
              <w:right w:val="single" w:color="auto" w:sz="4" w:space="0"/>
            </w:tcBorders>
            <w:shd w:val="clear" w:color="auto" w:fill="auto"/>
            <w:vAlign w:val="center"/>
          </w:tcPr>
          <w:p w14:paraId="1573D32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864</w:t>
            </w:r>
          </w:p>
        </w:tc>
        <w:tc>
          <w:tcPr>
            <w:tcW w:w="658" w:type="dxa"/>
            <w:tcBorders>
              <w:top w:val="nil"/>
              <w:left w:val="nil"/>
              <w:bottom w:val="single" w:color="auto" w:sz="4" w:space="0"/>
              <w:right w:val="single" w:color="auto" w:sz="4" w:space="0"/>
            </w:tcBorders>
            <w:shd w:val="clear" w:color="auto" w:fill="auto"/>
            <w:vAlign w:val="center"/>
          </w:tcPr>
          <w:p w14:paraId="54DC30F4">
            <w:pPr>
              <w:widowControl/>
              <w:spacing w:line="240" w:lineRule="exact"/>
              <w:jc w:val="center"/>
              <w:rPr>
                <w:rFonts w:hint="eastAsia" w:ascii="仿宋_GB2312" w:hAnsi="仿宋_GB2312" w:eastAsia="仿宋_GB2312" w:cs="仿宋_GB2312"/>
                <w:color w:val="auto"/>
                <w:kern w:val="0"/>
                <w:sz w:val="20"/>
                <w:szCs w:val="20"/>
              </w:rPr>
            </w:pPr>
          </w:p>
        </w:tc>
      </w:tr>
      <w:tr w14:paraId="68E9A0DF">
        <w:tblPrEx>
          <w:tblCellMar>
            <w:top w:w="0" w:type="dxa"/>
            <w:left w:w="51" w:type="dxa"/>
            <w:bottom w:w="0" w:type="dxa"/>
            <w:right w:w="51" w:type="dxa"/>
          </w:tblCellMar>
        </w:tblPrEx>
        <w:trPr>
          <w:trHeight w:val="75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0235EB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2-3-3</w:t>
            </w:r>
          </w:p>
        </w:tc>
        <w:tc>
          <w:tcPr>
            <w:tcW w:w="2069" w:type="dxa"/>
            <w:tcBorders>
              <w:top w:val="nil"/>
              <w:left w:val="nil"/>
              <w:bottom w:val="single" w:color="auto" w:sz="4" w:space="0"/>
              <w:right w:val="single" w:color="auto" w:sz="4" w:space="0"/>
            </w:tcBorders>
            <w:shd w:val="clear" w:color="auto" w:fill="auto"/>
            <w:vAlign w:val="center"/>
          </w:tcPr>
          <w:p w14:paraId="5EACC1D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察雅县烟多镇色嘎村山洪治理工程</w:t>
            </w:r>
          </w:p>
        </w:tc>
        <w:tc>
          <w:tcPr>
            <w:tcW w:w="932" w:type="dxa"/>
            <w:tcBorders>
              <w:top w:val="nil"/>
              <w:left w:val="nil"/>
              <w:bottom w:val="single" w:color="auto" w:sz="4" w:space="0"/>
              <w:right w:val="single" w:color="auto" w:sz="4" w:space="0"/>
            </w:tcBorders>
            <w:shd w:val="clear" w:color="auto" w:fill="auto"/>
            <w:vAlign w:val="center"/>
          </w:tcPr>
          <w:p w14:paraId="54A2F08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察雅县</w:t>
            </w:r>
          </w:p>
        </w:tc>
        <w:tc>
          <w:tcPr>
            <w:tcW w:w="732" w:type="dxa"/>
            <w:tcBorders>
              <w:top w:val="nil"/>
              <w:left w:val="nil"/>
              <w:bottom w:val="single" w:color="auto" w:sz="4" w:space="0"/>
              <w:right w:val="single" w:color="auto" w:sz="4" w:space="0"/>
            </w:tcBorders>
            <w:shd w:val="clear" w:color="auto" w:fill="auto"/>
            <w:vAlign w:val="center"/>
          </w:tcPr>
          <w:p w14:paraId="5A6F370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FAE09D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1626478F">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治理山洪沟2.5公里</w:t>
            </w:r>
          </w:p>
        </w:tc>
        <w:tc>
          <w:tcPr>
            <w:tcW w:w="932" w:type="dxa"/>
            <w:tcBorders>
              <w:top w:val="nil"/>
              <w:left w:val="nil"/>
              <w:bottom w:val="single" w:color="auto" w:sz="4" w:space="0"/>
              <w:right w:val="single" w:color="auto" w:sz="4" w:space="0"/>
            </w:tcBorders>
            <w:shd w:val="clear" w:color="auto" w:fill="auto"/>
            <w:vAlign w:val="center"/>
          </w:tcPr>
          <w:p w14:paraId="153898C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1DBF584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407BDFF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5869DE4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980</w:t>
            </w:r>
          </w:p>
        </w:tc>
        <w:tc>
          <w:tcPr>
            <w:tcW w:w="1196" w:type="dxa"/>
            <w:tcBorders>
              <w:top w:val="nil"/>
              <w:left w:val="nil"/>
              <w:bottom w:val="single" w:color="auto" w:sz="4" w:space="0"/>
              <w:right w:val="single" w:color="auto" w:sz="4" w:space="0"/>
            </w:tcBorders>
            <w:shd w:val="clear" w:color="auto" w:fill="auto"/>
            <w:vAlign w:val="center"/>
          </w:tcPr>
          <w:p w14:paraId="176AF8C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980</w:t>
            </w:r>
          </w:p>
        </w:tc>
        <w:tc>
          <w:tcPr>
            <w:tcW w:w="658" w:type="dxa"/>
            <w:tcBorders>
              <w:top w:val="nil"/>
              <w:left w:val="nil"/>
              <w:bottom w:val="single" w:color="auto" w:sz="4" w:space="0"/>
              <w:right w:val="single" w:color="auto" w:sz="4" w:space="0"/>
            </w:tcBorders>
            <w:shd w:val="clear" w:color="auto" w:fill="auto"/>
            <w:vAlign w:val="center"/>
          </w:tcPr>
          <w:p w14:paraId="5A8E90F1">
            <w:pPr>
              <w:widowControl/>
              <w:spacing w:line="240" w:lineRule="exact"/>
              <w:jc w:val="center"/>
              <w:rPr>
                <w:rFonts w:hint="eastAsia" w:ascii="仿宋_GB2312" w:hAnsi="仿宋_GB2312" w:eastAsia="仿宋_GB2312" w:cs="仿宋_GB2312"/>
                <w:color w:val="auto"/>
                <w:kern w:val="0"/>
                <w:sz w:val="20"/>
                <w:szCs w:val="20"/>
              </w:rPr>
            </w:pPr>
          </w:p>
        </w:tc>
      </w:tr>
      <w:tr w14:paraId="0E2FB210">
        <w:tblPrEx>
          <w:tblCellMar>
            <w:top w:w="0" w:type="dxa"/>
            <w:left w:w="51" w:type="dxa"/>
            <w:bottom w:w="0" w:type="dxa"/>
            <w:right w:w="51" w:type="dxa"/>
          </w:tblCellMar>
        </w:tblPrEx>
        <w:trPr>
          <w:trHeight w:val="69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F8D19D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2-3-4</w:t>
            </w:r>
          </w:p>
        </w:tc>
        <w:tc>
          <w:tcPr>
            <w:tcW w:w="2069" w:type="dxa"/>
            <w:tcBorders>
              <w:top w:val="nil"/>
              <w:left w:val="nil"/>
              <w:bottom w:val="single" w:color="auto" w:sz="4" w:space="0"/>
              <w:right w:val="single" w:color="auto" w:sz="4" w:space="0"/>
            </w:tcBorders>
            <w:shd w:val="clear" w:color="auto" w:fill="auto"/>
            <w:vAlign w:val="center"/>
          </w:tcPr>
          <w:p w14:paraId="1151A83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八宿县拉根乡龙青沟治理工程</w:t>
            </w:r>
          </w:p>
        </w:tc>
        <w:tc>
          <w:tcPr>
            <w:tcW w:w="932" w:type="dxa"/>
            <w:tcBorders>
              <w:top w:val="nil"/>
              <w:left w:val="nil"/>
              <w:bottom w:val="single" w:color="auto" w:sz="4" w:space="0"/>
              <w:right w:val="single" w:color="auto" w:sz="4" w:space="0"/>
            </w:tcBorders>
            <w:shd w:val="clear" w:color="auto" w:fill="auto"/>
            <w:vAlign w:val="center"/>
          </w:tcPr>
          <w:p w14:paraId="4FF5F93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656BFE6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126DCBA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正在编制初设</w:t>
            </w:r>
          </w:p>
        </w:tc>
        <w:tc>
          <w:tcPr>
            <w:tcW w:w="3116" w:type="dxa"/>
            <w:tcBorders>
              <w:top w:val="nil"/>
              <w:left w:val="nil"/>
              <w:bottom w:val="single" w:color="auto" w:sz="4" w:space="0"/>
              <w:right w:val="single" w:color="auto" w:sz="4" w:space="0"/>
            </w:tcBorders>
            <w:shd w:val="clear" w:color="auto" w:fill="auto"/>
            <w:vAlign w:val="center"/>
          </w:tcPr>
          <w:p w14:paraId="3D58B0B6">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治理山洪沟2.5公里</w:t>
            </w:r>
          </w:p>
        </w:tc>
        <w:tc>
          <w:tcPr>
            <w:tcW w:w="932" w:type="dxa"/>
            <w:tcBorders>
              <w:top w:val="nil"/>
              <w:left w:val="nil"/>
              <w:bottom w:val="single" w:color="auto" w:sz="4" w:space="0"/>
              <w:right w:val="single" w:color="auto" w:sz="4" w:space="0"/>
            </w:tcBorders>
            <w:shd w:val="clear" w:color="auto" w:fill="auto"/>
            <w:vAlign w:val="center"/>
          </w:tcPr>
          <w:p w14:paraId="4E59A84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946" w:type="dxa"/>
            <w:tcBorders>
              <w:top w:val="nil"/>
              <w:left w:val="nil"/>
              <w:bottom w:val="single" w:color="auto" w:sz="4" w:space="0"/>
              <w:right w:val="single" w:color="auto" w:sz="4" w:space="0"/>
            </w:tcBorders>
            <w:shd w:val="clear" w:color="auto" w:fill="auto"/>
            <w:vAlign w:val="center"/>
          </w:tcPr>
          <w:p w14:paraId="0DEBACB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26B6681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2E263E2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990</w:t>
            </w:r>
          </w:p>
        </w:tc>
        <w:tc>
          <w:tcPr>
            <w:tcW w:w="1196" w:type="dxa"/>
            <w:tcBorders>
              <w:top w:val="nil"/>
              <w:left w:val="nil"/>
              <w:bottom w:val="single" w:color="auto" w:sz="4" w:space="0"/>
              <w:right w:val="single" w:color="auto" w:sz="4" w:space="0"/>
            </w:tcBorders>
            <w:shd w:val="clear" w:color="auto" w:fill="auto"/>
            <w:vAlign w:val="center"/>
          </w:tcPr>
          <w:p w14:paraId="19EBA4C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990</w:t>
            </w:r>
          </w:p>
        </w:tc>
        <w:tc>
          <w:tcPr>
            <w:tcW w:w="658" w:type="dxa"/>
            <w:tcBorders>
              <w:top w:val="nil"/>
              <w:left w:val="nil"/>
              <w:bottom w:val="single" w:color="auto" w:sz="4" w:space="0"/>
              <w:right w:val="single" w:color="auto" w:sz="4" w:space="0"/>
            </w:tcBorders>
            <w:shd w:val="clear" w:color="auto" w:fill="auto"/>
            <w:vAlign w:val="center"/>
          </w:tcPr>
          <w:p w14:paraId="0FE94CAA">
            <w:pPr>
              <w:widowControl/>
              <w:spacing w:line="240" w:lineRule="exact"/>
              <w:jc w:val="center"/>
              <w:rPr>
                <w:rFonts w:hint="eastAsia" w:ascii="仿宋_GB2312" w:hAnsi="仿宋_GB2312" w:eastAsia="仿宋_GB2312" w:cs="仿宋_GB2312"/>
                <w:color w:val="auto"/>
                <w:kern w:val="0"/>
                <w:sz w:val="20"/>
                <w:szCs w:val="20"/>
              </w:rPr>
            </w:pPr>
          </w:p>
        </w:tc>
      </w:tr>
      <w:tr w14:paraId="4E66FF33">
        <w:tblPrEx>
          <w:tblCellMar>
            <w:top w:w="0" w:type="dxa"/>
            <w:left w:w="51" w:type="dxa"/>
            <w:bottom w:w="0" w:type="dxa"/>
            <w:right w:w="51" w:type="dxa"/>
          </w:tblCellMar>
        </w:tblPrEx>
        <w:trPr>
          <w:trHeight w:val="7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1CDEDC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2-3-5</w:t>
            </w:r>
          </w:p>
        </w:tc>
        <w:tc>
          <w:tcPr>
            <w:tcW w:w="2069" w:type="dxa"/>
            <w:tcBorders>
              <w:top w:val="nil"/>
              <w:left w:val="nil"/>
              <w:bottom w:val="single" w:color="auto" w:sz="4" w:space="0"/>
              <w:right w:val="single" w:color="auto" w:sz="4" w:space="0"/>
            </w:tcBorders>
            <w:shd w:val="clear" w:color="auto" w:fill="auto"/>
            <w:vAlign w:val="center"/>
          </w:tcPr>
          <w:p w14:paraId="4ABE17C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洛隆县硕督镇格依村山洪沟治理工程</w:t>
            </w:r>
          </w:p>
        </w:tc>
        <w:tc>
          <w:tcPr>
            <w:tcW w:w="932" w:type="dxa"/>
            <w:tcBorders>
              <w:top w:val="nil"/>
              <w:left w:val="nil"/>
              <w:bottom w:val="single" w:color="auto" w:sz="4" w:space="0"/>
              <w:right w:val="single" w:color="auto" w:sz="4" w:space="0"/>
            </w:tcBorders>
            <w:shd w:val="clear" w:color="auto" w:fill="auto"/>
            <w:vAlign w:val="center"/>
          </w:tcPr>
          <w:p w14:paraId="4DC5118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41CF122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174181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5F739B0E">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新建谷坊4座，排洪渠2公里</w:t>
            </w:r>
          </w:p>
        </w:tc>
        <w:tc>
          <w:tcPr>
            <w:tcW w:w="932" w:type="dxa"/>
            <w:tcBorders>
              <w:top w:val="nil"/>
              <w:left w:val="nil"/>
              <w:bottom w:val="single" w:color="auto" w:sz="4" w:space="0"/>
              <w:right w:val="single" w:color="auto" w:sz="4" w:space="0"/>
            </w:tcBorders>
            <w:shd w:val="clear" w:color="auto" w:fill="auto"/>
            <w:vAlign w:val="center"/>
          </w:tcPr>
          <w:p w14:paraId="5140A32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576374A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7091B0B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23F9B54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990</w:t>
            </w:r>
          </w:p>
        </w:tc>
        <w:tc>
          <w:tcPr>
            <w:tcW w:w="1196" w:type="dxa"/>
            <w:tcBorders>
              <w:top w:val="nil"/>
              <w:left w:val="nil"/>
              <w:bottom w:val="single" w:color="auto" w:sz="4" w:space="0"/>
              <w:right w:val="single" w:color="auto" w:sz="4" w:space="0"/>
            </w:tcBorders>
            <w:shd w:val="clear" w:color="auto" w:fill="auto"/>
            <w:vAlign w:val="center"/>
          </w:tcPr>
          <w:p w14:paraId="3482D10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990</w:t>
            </w:r>
          </w:p>
        </w:tc>
        <w:tc>
          <w:tcPr>
            <w:tcW w:w="658" w:type="dxa"/>
            <w:tcBorders>
              <w:top w:val="nil"/>
              <w:left w:val="nil"/>
              <w:bottom w:val="single" w:color="auto" w:sz="4" w:space="0"/>
              <w:right w:val="single" w:color="auto" w:sz="4" w:space="0"/>
            </w:tcBorders>
            <w:shd w:val="clear" w:color="auto" w:fill="auto"/>
            <w:vAlign w:val="center"/>
          </w:tcPr>
          <w:p w14:paraId="747F14C0">
            <w:pPr>
              <w:widowControl/>
              <w:spacing w:line="240" w:lineRule="exact"/>
              <w:jc w:val="center"/>
              <w:rPr>
                <w:rFonts w:hint="eastAsia" w:ascii="仿宋_GB2312" w:hAnsi="仿宋_GB2312" w:eastAsia="仿宋_GB2312" w:cs="仿宋_GB2312"/>
                <w:color w:val="auto"/>
                <w:kern w:val="0"/>
                <w:sz w:val="20"/>
                <w:szCs w:val="20"/>
              </w:rPr>
            </w:pPr>
          </w:p>
        </w:tc>
      </w:tr>
      <w:tr w14:paraId="188F1C7D">
        <w:tblPrEx>
          <w:tblCellMar>
            <w:top w:w="0" w:type="dxa"/>
            <w:left w:w="51" w:type="dxa"/>
            <w:bottom w:w="0" w:type="dxa"/>
            <w:right w:w="51" w:type="dxa"/>
          </w:tblCellMar>
        </w:tblPrEx>
        <w:trPr>
          <w:trHeight w:val="60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05AB9A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2-3-6</w:t>
            </w:r>
          </w:p>
        </w:tc>
        <w:tc>
          <w:tcPr>
            <w:tcW w:w="2069" w:type="dxa"/>
            <w:tcBorders>
              <w:top w:val="nil"/>
              <w:left w:val="nil"/>
              <w:bottom w:val="single" w:color="auto" w:sz="4" w:space="0"/>
              <w:right w:val="single" w:color="auto" w:sz="4" w:space="0"/>
            </w:tcBorders>
            <w:shd w:val="clear" w:color="auto" w:fill="auto"/>
            <w:vAlign w:val="center"/>
          </w:tcPr>
          <w:p w14:paraId="063F82A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八宿县林卡乡山洪沟治理工程</w:t>
            </w:r>
          </w:p>
        </w:tc>
        <w:tc>
          <w:tcPr>
            <w:tcW w:w="932" w:type="dxa"/>
            <w:tcBorders>
              <w:top w:val="nil"/>
              <w:left w:val="nil"/>
              <w:bottom w:val="single" w:color="auto" w:sz="4" w:space="0"/>
              <w:right w:val="single" w:color="auto" w:sz="4" w:space="0"/>
            </w:tcBorders>
            <w:shd w:val="clear" w:color="auto" w:fill="auto"/>
            <w:vAlign w:val="center"/>
          </w:tcPr>
          <w:p w14:paraId="0296FA6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30FEB74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5F6509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CAEAC6F">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新建防洪堤1800米，排洪沟3条总长751米</w:t>
            </w:r>
          </w:p>
        </w:tc>
        <w:tc>
          <w:tcPr>
            <w:tcW w:w="932" w:type="dxa"/>
            <w:tcBorders>
              <w:top w:val="nil"/>
              <w:left w:val="nil"/>
              <w:bottom w:val="single" w:color="auto" w:sz="4" w:space="0"/>
              <w:right w:val="single" w:color="auto" w:sz="4" w:space="0"/>
            </w:tcBorders>
            <w:shd w:val="clear" w:color="auto" w:fill="auto"/>
            <w:vAlign w:val="center"/>
          </w:tcPr>
          <w:p w14:paraId="71ED36A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2E60FD7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1700984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77A7860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999</w:t>
            </w:r>
          </w:p>
        </w:tc>
        <w:tc>
          <w:tcPr>
            <w:tcW w:w="1196" w:type="dxa"/>
            <w:tcBorders>
              <w:top w:val="nil"/>
              <w:left w:val="nil"/>
              <w:bottom w:val="single" w:color="auto" w:sz="4" w:space="0"/>
              <w:right w:val="single" w:color="auto" w:sz="4" w:space="0"/>
            </w:tcBorders>
            <w:shd w:val="clear" w:color="auto" w:fill="auto"/>
            <w:vAlign w:val="center"/>
          </w:tcPr>
          <w:p w14:paraId="27913A8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999</w:t>
            </w:r>
          </w:p>
        </w:tc>
        <w:tc>
          <w:tcPr>
            <w:tcW w:w="658" w:type="dxa"/>
            <w:tcBorders>
              <w:top w:val="nil"/>
              <w:left w:val="nil"/>
              <w:bottom w:val="single" w:color="auto" w:sz="4" w:space="0"/>
              <w:right w:val="single" w:color="auto" w:sz="4" w:space="0"/>
            </w:tcBorders>
            <w:shd w:val="clear" w:color="auto" w:fill="auto"/>
            <w:vAlign w:val="center"/>
          </w:tcPr>
          <w:p w14:paraId="0CB6F91F">
            <w:pPr>
              <w:widowControl/>
              <w:spacing w:line="240" w:lineRule="exact"/>
              <w:jc w:val="center"/>
              <w:rPr>
                <w:rFonts w:hint="eastAsia" w:ascii="仿宋_GB2312" w:hAnsi="仿宋_GB2312" w:eastAsia="仿宋_GB2312" w:cs="仿宋_GB2312"/>
                <w:color w:val="auto"/>
                <w:kern w:val="0"/>
                <w:sz w:val="20"/>
                <w:szCs w:val="20"/>
              </w:rPr>
            </w:pPr>
          </w:p>
        </w:tc>
      </w:tr>
      <w:tr w14:paraId="1F1A315B">
        <w:tblPrEx>
          <w:tblCellMar>
            <w:top w:w="0" w:type="dxa"/>
            <w:left w:w="51" w:type="dxa"/>
            <w:bottom w:w="0" w:type="dxa"/>
            <w:right w:w="51" w:type="dxa"/>
          </w:tblCellMar>
        </w:tblPrEx>
        <w:trPr>
          <w:trHeight w:val="81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F0C6FA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2-3-7</w:t>
            </w:r>
          </w:p>
        </w:tc>
        <w:tc>
          <w:tcPr>
            <w:tcW w:w="2069" w:type="dxa"/>
            <w:tcBorders>
              <w:top w:val="nil"/>
              <w:left w:val="nil"/>
              <w:bottom w:val="single" w:color="auto" w:sz="4" w:space="0"/>
              <w:right w:val="single" w:color="auto" w:sz="4" w:space="0"/>
            </w:tcBorders>
            <w:shd w:val="clear" w:color="auto" w:fill="auto"/>
            <w:vAlign w:val="center"/>
          </w:tcPr>
          <w:p w14:paraId="7FF5231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八宿县瓦来泥巴村山洪沟治理工程</w:t>
            </w:r>
          </w:p>
        </w:tc>
        <w:tc>
          <w:tcPr>
            <w:tcW w:w="932" w:type="dxa"/>
            <w:tcBorders>
              <w:top w:val="nil"/>
              <w:left w:val="nil"/>
              <w:bottom w:val="single" w:color="auto" w:sz="4" w:space="0"/>
              <w:right w:val="single" w:color="auto" w:sz="4" w:space="0"/>
            </w:tcBorders>
            <w:shd w:val="clear" w:color="auto" w:fill="auto"/>
            <w:vAlign w:val="center"/>
          </w:tcPr>
          <w:p w14:paraId="42E3A26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2E7C8A7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3EDDB5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434055FA">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治理山洪沟4公里</w:t>
            </w:r>
          </w:p>
        </w:tc>
        <w:tc>
          <w:tcPr>
            <w:tcW w:w="932" w:type="dxa"/>
            <w:tcBorders>
              <w:top w:val="nil"/>
              <w:left w:val="nil"/>
              <w:bottom w:val="single" w:color="auto" w:sz="4" w:space="0"/>
              <w:right w:val="single" w:color="auto" w:sz="4" w:space="0"/>
            </w:tcBorders>
            <w:shd w:val="clear" w:color="auto" w:fill="auto"/>
            <w:vAlign w:val="center"/>
          </w:tcPr>
          <w:p w14:paraId="7B911DE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04D26B0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4263309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49BBBFB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980</w:t>
            </w:r>
          </w:p>
        </w:tc>
        <w:tc>
          <w:tcPr>
            <w:tcW w:w="1196" w:type="dxa"/>
            <w:tcBorders>
              <w:top w:val="nil"/>
              <w:left w:val="nil"/>
              <w:bottom w:val="single" w:color="auto" w:sz="4" w:space="0"/>
              <w:right w:val="single" w:color="auto" w:sz="4" w:space="0"/>
            </w:tcBorders>
            <w:shd w:val="clear" w:color="auto" w:fill="auto"/>
            <w:vAlign w:val="center"/>
          </w:tcPr>
          <w:p w14:paraId="55053EB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980</w:t>
            </w:r>
          </w:p>
        </w:tc>
        <w:tc>
          <w:tcPr>
            <w:tcW w:w="658" w:type="dxa"/>
            <w:tcBorders>
              <w:top w:val="nil"/>
              <w:left w:val="nil"/>
              <w:bottom w:val="single" w:color="auto" w:sz="4" w:space="0"/>
              <w:right w:val="single" w:color="auto" w:sz="4" w:space="0"/>
            </w:tcBorders>
            <w:shd w:val="clear" w:color="auto" w:fill="auto"/>
            <w:vAlign w:val="center"/>
          </w:tcPr>
          <w:p w14:paraId="3D3515D0">
            <w:pPr>
              <w:widowControl/>
              <w:spacing w:line="240" w:lineRule="exact"/>
              <w:jc w:val="center"/>
              <w:rPr>
                <w:rFonts w:hint="eastAsia" w:ascii="仿宋_GB2312" w:hAnsi="仿宋_GB2312" w:eastAsia="仿宋_GB2312" w:cs="仿宋_GB2312"/>
                <w:color w:val="auto"/>
                <w:kern w:val="0"/>
                <w:sz w:val="20"/>
                <w:szCs w:val="20"/>
              </w:rPr>
            </w:pPr>
          </w:p>
        </w:tc>
      </w:tr>
      <w:tr w14:paraId="7F7B538D">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7581204">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2-4</w:t>
            </w:r>
          </w:p>
        </w:tc>
        <w:tc>
          <w:tcPr>
            <w:tcW w:w="2069" w:type="dxa"/>
            <w:tcBorders>
              <w:top w:val="nil"/>
              <w:left w:val="nil"/>
              <w:bottom w:val="single" w:color="auto" w:sz="4" w:space="0"/>
              <w:right w:val="single" w:color="auto" w:sz="4" w:space="0"/>
            </w:tcBorders>
            <w:shd w:val="clear" w:color="auto" w:fill="auto"/>
            <w:vAlign w:val="center"/>
          </w:tcPr>
          <w:p w14:paraId="14EA4B0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城市防洪工程</w:t>
            </w:r>
          </w:p>
        </w:tc>
        <w:tc>
          <w:tcPr>
            <w:tcW w:w="932" w:type="dxa"/>
            <w:tcBorders>
              <w:top w:val="nil"/>
              <w:left w:val="nil"/>
              <w:bottom w:val="single" w:color="auto" w:sz="4" w:space="0"/>
              <w:right w:val="single" w:color="auto" w:sz="4" w:space="0"/>
            </w:tcBorders>
            <w:shd w:val="clear" w:color="auto" w:fill="auto"/>
            <w:vAlign w:val="center"/>
          </w:tcPr>
          <w:p w14:paraId="4B95B6FB">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4</w:t>
            </w:r>
          </w:p>
        </w:tc>
        <w:tc>
          <w:tcPr>
            <w:tcW w:w="732" w:type="dxa"/>
            <w:tcBorders>
              <w:top w:val="nil"/>
              <w:left w:val="nil"/>
              <w:bottom w:val="single" w:color="auto" w:sz="4" w:space="0"/>
              <w:right w:val="single" w:color="auto" w:sz="4" w:space="0"/>
            </w:tcBorders>
            <w:shd w:val="clear" w:color="auto" w:fill="auto"/>
            <w:vAlign w:val="center"/>
          </w:tcPr>
          <w:p w14:paraId="45AB8D99">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7E20961A">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6C9D0F85">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383E1865">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6F47E58D">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7EA7D2CD">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73E5753E">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16869</w:t>
            </w:r>
          </w:p>
        </w:tc>
        <w:tc>
          <w:tcPr>
            <w:tcW w:w="1196" w:type="dxa"/>
            <w:tcBorders>
              <w:top w:val="nil"/>
              <w:left w:val="nil"/>
              <w:bottom w:val="single" w:color="auto" w:sz="4" w:space="0"/>
              <w:right w:val="single" w:color="auto" w:sz="4" w:space="0"/>
            </w:tcBorders>
            <w:shd w:val="clear" w:color="auto" w:fill="auto"/>
            <w:vAlign w:val="center"/>
          </w:tcPr>
          <w:p w14:paraId="662ED52C">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14523</w:t>
            </w:r>
          </w:p>
        </w:tc>
        <w:tc>
          <w:tcPr>
            <w:tcW w:w="658" w:type="dxa"/>
            <w:tcBorders>
              <w:top w:val="nil"/>
              <w:left w:val="nil"/>
              <w:bottom w:val="single" w:color="auto" w:sz="4" w:space="0"/>
              <w:right w:val="single" w:color="auto" w:sz="4" w:space="0"/>
            </w:tcBorders>
            <w:shd w:val="clear" w:color="auto" w:fill="auto"/>
            <w:vAlign w:val="center"/>
          </w:tcPr>
          <w:p w14:paraId="3595385E">
            <w:pPr>
              <w:widowControl/>
              <w:spacing w:line="240" w:lineRule="exact"/>
              <w:jc w:val="center"/>
              <w:rPr>
                <w:rFonts w:hint="eastAsia" w:ascii="仿宋_GB2312" w:hAnsi="仿宋_GB2312" w:eastAsia="仿宋_GB2312" w:cs="仿宋_GB2312"/>
                <w:b/>
                <w:bCs/>
                <w:color w:val="auto"/>
                <w:kern w:val="0"/>
                <w:sz w:val="20"/>
                <w:szCs w:val="20"/>
              </w:rPr>
            </w:pPr>
          </w:p>
        </w:tc>
      </w:tr>
      <w:tr w14:paraId="07EA3B7A">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7B62319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2-4-1</w:t>
            </w:r>
          </w:p>
        </w:tc>
        <w:tc>
          <w:tcPr>
            <w:tcW w:w="2069" w:type="dxa"/>
            <w:tcBorders>
              <w:top w:val="nil"/>
              <w:left w:val="nil"/>
              <w:bottom w:val="single" w:color="auto" w:sz="4" w:space="0"/>
              <w:right w:val="single" w:color="auto" w:sz="4" w:space="0"/>
            </w:tcBorders>
            <w:shd w:val="clear" w:color="auto" w:fill="auto"/>
            <w:vAlign w:val="center"/>
          </w:tcPr>
          <w:p w14:paraId="63F58C9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江达县字曲河城区段防洪堤除险加固工程</w:t>
            </w:r>
          </w:p>
        </w:tc>
        <w:tc>
          <w:tcPr>
            <w:tcW w:w="932" w:type="dxa"/>
            <w:tcBorders>
              <w:top w:val="nil"/>
              <w:left w:val="nil"/>
              <w:bottom w:val="single" w:color="auto" w:sz="4" w:space="0"/>
              <w:right w:val="single" w:color="auto" w:sz="4" w:space="0"/>
            </w:tcBorders>
            <w:shd w:val="clear" w:color="auto" w:fill="auto"/>
            <w:vAlign w:val="center"/>
          </w:tcPr>
          <w:p w14:paraId="195C050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51EAAAB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F1E166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3C4AE13D">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堤防长16.00公里，防洪标准50年一遇</w:t>
            </w:r>
          </w:p>
        </w:tc>
        <w:tc>
          <w:tcPr>
            <w:tcW w:w="932" w:type="dxa"/>
            <w:tcBorders>
              <w:top w:val="nil"/>
              <w:left w:val="nil"/>
              <w:bottom w:val="single" w:color="auto" w:sz="4" w:space="0"/>
              <w:right w:val="single" w:color="auto" w:sz="4" w:space="0"/>
            </w:tcBorders>
            <w:shd w:val="clear" w:color="auto" w:fill="auto"/>
            <w:vAlign w:val="center"/>
          </w:tcPr>
          <w:p w14:paraId="773B730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2021</w:t>
            </w:r>
          </w:p>
        </w:tc>
        <w:tc>
          <w:tcPr>
            <w:tcW w:w="946" w:type="dxa"/>
            <w:tcBorders>
              <w:top w:val="nil"/>
              <w:left w:val="nil"/>
              <w:bottom w:val="single" w:color="auto" w:sz="4" w:space="0"/>
              <w:right w:val="single" w:color="auto" w:sz="4" w:space="0"/>
            </w:tcBorders>
            <w:shd w:val="clear" w:color="auto" w:fill="auto"/>
            <w:vAlign w:val="center"/>
          </w:tcPr>
          <w:p w14:paraId="6F09FFE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1043" w:type="dxa"/>
            <w:tcBorders>
              <w:top w:val="nil"/>
              <w:left w:val="nil"/>
              <w:bottom w:val="single" w:color="auto" w:sz="4" w:space="0"/>
              <w:right w:val="single" w:color="auto" w:sz="4" w:space="0"/>
            </w:tcBorders>
            <w:shd w:val="clear" w:color="auto" w:fill="auto"/>
            <w:vAlign w:val="center"/>
          </w:tcPr>
          <w:p w14:paraId="5BAF27C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348F285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11426</w:t>
            </w:r>
          </w:p>
        </w:tc>
        <w:tc>
          <w:tcPr>
            <w:tcW w:w="1196" w:type="dxa"/>
            <w:tcBorders>
              <w:top w:val="nil"/>
              <w:left w:val="nil"/>
              <w:bottom w:val="single" w:color="auto" w:sz="4" w:space="0"/>
              <w:right w:val="single" w:color="auto" w:sz="4" w:space="0"/>
            </w:tcBorders>
            <w:shd w:val="clear" w:color="auto" w:fill="auto"/>
            <w:vAlign w:val="center"/>
          </w:tcPr>
          <w:p w14:paraId="7A0782D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10526</w:t>
            </w:r>
          </w:p>
        </w:tc>
        <w:tc>
          <w:tcPr>
            <w:tcW w:w="658" w:type="dxa"/>
            <w:tcBorders>
              <w:top w:val="nil"/>
              <w:left w:val="nil"/>
              <w:bottom w:val="single" w:color="auto" w:sz="4" w:space="0"/>
              <w:right w:val="single" w:color="auto" w:sz="4" w:space="0"/>
            </w:tcBorders>
            <w:shd w:val="clear" w:color="auto" w:fill="auto"/>
            <w:vAlign w:val="center"/>
          </w:tcPr>
          <w:p w14:paraId="6A714D0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其中中央财政资金已安排投资900万元</w:t>
            </w:r>
          </w:p>
        </w:tc>
      </w:tr>
      <w:tr w14:paraId="769A4D15">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8C9C76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2-4-2</w:t>
            </w:r>
          </w:p>
        </w:tc>
        <w:tc>
          <w:tcPr>
            <w:tcW w:w="2069" w:type="dxa"/>
            <w:tcBorders>
              <w:top w:val="nil"/>
              <w:left w:val="nil"/>
              <w:bottom w:val="single" w:color="auto" w:sz="4" w:space="0"/>
              <w:right w:val="single" w:color="auto" w:sz="4" w:space="0"/>
            </w:tcBorders>
            <w:shd w:val="clear" w:color="auto" w:fill="auto"/>
            <w:vAlign w:val="center"/>
          </w:tcPr>
          <w:p w14:paraId="5015BE1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边坝县新城区防洪堤工程</w:t>
            </w:r>
          </w:p>
        </w:tc>
        <w:tc>
          <w:tcPr>
            <w:tcW w:w="932" w:type="dxa"/>
            <w:tcBorders>
              <w:top w:val="nil"/>
              <w:left w:val="nil"/>
              <w:bottom w:val="single" w:color="auto" w:sz="4" w:space="0"/>
              <w:right w:val="single" w:color="auto" w:sz="4" w:space="0"/>
            </w:tcBorders>
            <w:shd w:val="clear" w:color="auto" w:fill="auto"/>
            <w:vAlign w:val="center"/>
          </w:tcPr>
          <w:p w14:paraId="006AECC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边坝县</w:t>
            </w:r>
          </w:p>
        </w:tc>
        <w:tc>
          <w:tcPr>
            <w:tcW w:w="732" w:type="dxa"/>
            <w:tcBorders>
              <w:top w:val="nil"/>
              <w:left w:val="nil"/>
              <w:bottom w:val="single" w:color="auto" w:sz="4" w:space="0"/>
              <w:right w:val="single" w:color="auto" w:sz="4" w:space="0"/>
            </w:tcBorders>
            <w:shd w:val="clear" w:color="auto" w:fill="auto"/>
            <w:vAlign w:val="center"/>
          </w:tcPr>
          <w:p w14:paraId="5D24B2B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6DDFE14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33343949">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新建堤防1.151公里，下河梯步6处，防洪标准30年一遇</w:t>
            </w:r>
          </w:p>
        </w:tc>
        <w:tc>
          <w:tcPr>
            <w:tcW w:w="932" w:type="dxa"/>
            <w:tcBorders>
              <w:top w:val="nil"/>
              <w:left w:val="nil"/>
              <w:bottom w:val="single" w:color="auto" w:sz="4" w:space="0"/>
              <w:right w:val="single" w:color="auto" w:sz="4" w:space="0"/>
            </w:tcBorders>
            <w:shd w:val="clear" w:color="auto" w:fill="auto"/>
            <w:vAlign w:val="center"/>
          </w:tcPr>
          <w:p w14:paraId="39244CC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442DB05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2C338FF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0EDD9D4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1683</w:t>
            </w:r>
          </w:p>
        </w:tc>
        <w:tc>
          <w:tcPr>
            <w:tcW w:w="1196" w:type="dxa"/>
            <w:tcBorders>
              <w:top w:val="nil"/>
              <w:left w:val="nil"/>
              <w:bottom w:val="single" w:color="auto" w:sz="4" w:space="0"/>
              <w:right w:val="single" w:color="auto" w:sz="4" w:space="0"/>
            </w:tcBorders>
            <w:shd w:val="clear" w:color="auto" w:fill="auto"/>
            <w:vAlign w:val="center"/>
          </w:tcPr>
          <w:p w14:paraId="061CB17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1683</w:t>
            </w:r>
          </w:p>
        </w:tc>
        <w:tc>
          <w:tcPr>
            <w:tcW w:w="658" w:type="dxa"/>
            <w:tcBorders>
              <w:top w:val="nil"/>
              <w:left w:val="nil"/>
              <w:bottom w:val="single" w:color="auto" w:sz="4" w:space="0"/>
              <w:right w:val="single" w:color="auto" w:sz="4" w:space="0"/>
            </w:tcBorders>
            <w:shd w:val="clear" w:color="auto" w:fill="auto"/>
            <w:vAlign w:val="center"/>
          </w:tcPr>
          <w:p w14:paraId="09704AF5">
            <w:pPr>
              <w:widowControl/>
              <w:spacing w:line="240" w:lineRule="exact"/>
              <w:jc w:val="center"/>
              <w:rPr>
                <w:rFonts w:hint="eastAsia" w:ascii="仿宋_GB2312" w:hAnsi="仿宋_GB2312" w:eastAsia="仿宋_GB2312" w:cs="仿宋_GB2312"/>
                <w:color w:val="auto"/>
                <w:kern w:val="0"/>
                <w:sz w:val="20"/>
                <w:szCs w:val="20"/>
              </w:rPr>
            </w:pPr>
          </w:p>
        </w:tc>
      </w:tr>
      <w:tr w14:paraId="231164C7">
        <w:tblPrEx>
          <w:tblCellMar>
            <w:top w:w="0" w:type="dxa"/>
            <w:left w:w="51" w:type="dxa"/>
            <w:bottom w:w="0" w:type="dxa"/>
            <w:right w:w="51" w:type="dxa"/>
          </w:tblCellMar>
        </w:tblPrEx>
        <w:trPr>
          <w:trHeight w:val="573"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61C282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2-4-3</w:t>
            </w:r>
          </w:p>
        </w:tc>
        <w:tc>
          <w:tcPr>
            <w:tcW w:w="2069" w:type="dxa"/>
            <w:tcBorders>
              <w:top w:val="nil"/>
              <w:left w:val="nil"/>
              <w:bottom w:val="single" w:color="auto" w:sz="4" w:space="0"/>
              <w:right w:val="single" w:color="auto" w:sz="4" w:space="0"/>
            </w:tcBorders>
            <w:shd w:val="clear" w:color="auto" w:fill="auto"/>
            <w:vAlign w:val="center"/>
          </w:tcPr>
          <w:p w14:paraId="416B8F6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贡觉县普垄沟城区段防洪堤工程</w:t>
            </w:r>
          </w:p>
        </w:tc>
        <w:tc>
          <w:tcPr>
            <w:tcW w:w="932" w:type="dxa"/>
            <w:tcBorders>
              <w:top w:val="nil"/>
              <w:left w:val="nil"/>
              <w:bottom w:val="single" w:color="auto" w:sz="4" w:space="0"/>
              <w:right w:val="single" w:color="auto" w:sz="4" w:space="0"/>
            </w:tcBorders>
            <w:shd w:val="clear" w:color="auto" w:fill="auto"/>
            <w:vAlign w:val="center"/>
          </w:tcPr>
          <w:p w14:paraId="0FBF56F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w:t>
            </w:r>
          </w:p>
        </w:tc>
        <w:tc>
          <w:tcPr>
            <w:tcW w:w="732" w:type="dxa"/>
            <w:tcBorders>
              <w:top w:val="nil"/>
              <w:left w:val="nil"/>
              <w:bottom w:val="single" w:color="auto" w:sz="4" w:space="0"/>
              <w:right w:val="single" w:color="auto" w:sz="4" w:space="0"/>
            </w:tcBorders>
            <w:shd w:val="clear" w:color="auto" w:fill="auto"/>
            <w:vAlign w:val="center"/>
          </w:tcPr>
          <w:p w14:paraId="09D1ADA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5004869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226384F9">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新建堤防2.61公里，3级堤防，防洪标准30年一遇</w:t>
            </w:r>
          </w:p>
        </w:tc>
        <w:tc>
          <w:tcPr>
            <w:tcW w:w="932" w:type="dxa"/>
            <w:tcBorders>
              <w:top w:val="nil"/>
              <w:left w:val="nil"/>
              <w:bottom w:val="single" w:color="auto" w:sz="4" w:space="0"/>
              <w:right w:val="single" w:color="auto" w:sz="4" w:space="0"/>
            </w:tcBorders>
            <w:shd w:val="clear" w:color="auto" w:fill="auto"/>
            <w:vAlign w:val="center"/>
          </w:tcPr>
          <w:p w14:paraId="17FE1BC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3A56C77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7E6DE24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0B8D8DD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1814</w:t>
            </w:r>
          </w:p>
        </w:tc>
        <w:tc>
          <w:tcPr>
            <w:tcW w:w="1196" w:type="dxa"/>
            <w:tcBorders>
              <w:top w:val="nil"/>
              <w:left w:val="nil"/>
              <w:bottom w:val="single" w:color="auto" w:sz="4" w:space="0"/>
              <w:right w:val="single" w:color="auto" w:sz="4" w:space="0"/>
            </w:tcBorders>
            <w:shd w:val="clear" w:color="auto" w:fill="auto"/>
            <w:vAlign w:val="center"/>
          </w:tcPr>
          <w:p w14:paraId="15F2C35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1814</w:t>
            </w:r>
          </w:p>
        </w:tc>
        <w:tc>
          <w:tcPr>
            <w:tcW w:w="658" w:type="dxa"/>
            <w:tcBorders>
              <w:top w:val="nil"/>
              <w:left w:val="nil"/>
              <w:bottom w:val="single" w:color="auto" w:sz="4" w:space="0"/>
              <w:right w:val="single" w:color="auto" w:sz="4" w:space="0"/>
            </w:tcBorders>
            <w:shd w:val="clear" w:color="auto" w:fill="auto"/>
            <w:vAlign w:val="center"/>
          </w:tcPr>
          <w:p w14:paraId="679761B6">
            <w:pPr>
              <w:widowControl/>
              <w:spacing w:line="240" w:lineRule="exact"/>
              <w:jc w:val="center"/>
              <w:rPr>
                <w:rFonts w:hint="eastAsia" w:ascii="仿宋_GB2312" w:hAnsi="仿宋_GB2312" w:eastAsia="仿宋_GB2312" w:cs="仿宋_GB2312"/>
                <w:color w:val="auto"/>
                <w:kern w:val="0"/>
                <w:sz w:val="20"/>
                <w:szCs w:val="20"/>
              </w:rPr>
            </w:pPr>
          </w:p>
        </w:tc>
      </w:tr>
      <w:tr w14:paraId="01B6199A">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0C3E2A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2-4-4</w:t>
            </w:r>
          </w:p>
        </w:tc>
        <w:tc>
          <w:tcPr>
            <w:tcW w:w="2069" w:type="dxa"/>
            <w:tcBorders>
              <w:top w:val="nil"/>
              <w:left w:val="nil"/>
              <w:bottom w:val="single" w:color="auto" w:sz="4" w:space="0"/>
              <w:right w:val="single" w:color="auto" w:sz="4" w:space="0"/>
            </w:tcBorders>
            <w:shd w:val="clear" w:color="auto" w:fill="auto"/>
            <w:vAlign w:val="center"/>
          </w:tcPr>
          <w:p w14:paraId="732B21F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洛隆县新城区防洪堤工程</w:t>
            </w:r>
          </w:p>
        </w:tc>
        <w:tc>
          <w:tcPr>
            <w:tcW w:w="932" w:type="dxa"/>
            <w:tcBorders>
              <w:top w:val="nil"/>
              <w:left w:val="nil"/>
              <w:bottom w:val="single" w:color="auto" w:sz="4" w:space="0"/>
              <w:right w:val="single" w:color="auto" w:sz="4" w:space="0"/>
            </w:tcBorders>
            <w:shd w:val="clear" w:color="auto" w:fill="auto"/>
            <w:vAlign w:val="center"/>
          </w:tcPr>
          <w:p w14:paraId="2A3320B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洛隆县</w:t>
            </w:r>
          </w:p>
        </w:tc>
        <w:tc>
          <w:tcPr>
            <w:tcW w:w="732" w:type="dxa"/>
            <w:tcBorders>
              <w:top w:val="nil"/>
              <w:left w:val="nil"/>
              <w:bottom w:val="single" w:color="auto" w:sz="4" w:space="0"/>
              <w:right w:val="single" w:color="auto" w:sz="4" w:space="0"/>
            </w:tcBorders>
            <w:shd w:val="clear" w:color="auto" w:fill="auto"/>
            <w:vAlign w:val="center"/>
          </w:tcPr>
          <w:p w14:paraId="47D659D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7B3D7F8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F2FD213">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新建堤防4.77公里，3级堤防，防洪标准30年一遇</w:t>
            </w:r>
          </w:p>
        </w:tc>
        <w:tc>
          <w:tcPr>
            <w:tcW w:w="932" w:type="dxa"/>
            <w:tcBorders>
              <w:top w:val="nil"/>
              <w:left w:val="nil"/>
              <w:bottom w:val="single" w:color="auto" w:sz="4" w:space="0"/>
              <w:right w:val="single" w:color="auto" w:sz="4" w:space="0"/>
            </w:tcBorders>
            <w:shd w:val="clear" w:color="auto" w:fill="auto"/>
            <w:vAlign w:val="center"/>
          </w:tcPr>
          <w:p w14:paraId="5D6E16C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3CB81E1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2024</w:t>
            </w:r>
          </w:p>
        </w:tc>
        <w:tc>
          <w:tcPr>
            <w:tcW w:w="1043" w:type="dxa"/>
            <w:tcBorders>
              <w:top w:val="nil"/>
              <w:left w:val="nil"/>
              <w:bottom w:val="single" w:color="auto" w:sz="4" w:space="0"/>
              <w:right w:val="single" w:color="auto" w:sz="4" w:space="0"/>
            </w:tcBorders>
            <w:shd w:val="clear" w:color="auto" w:fill="auto"/>
            <w:vAlign w:val="center"/>
          </w:tcPr>
          <w:p w14:paraId="7929427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71A5E07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1946</w:t>
            </w:r>
          </w:p>
        </w:tc>
        <w:tc>
          <w:tcPr>
            <w:tcW w:w="1196" w:type="dxa"/>
            <w:tcBorders>
              <w:top w:val="nil"/>
              <w:left w:val="nil"/>
              <w:bottom w:val="single" w:color="auto" w:sz="4" w:space="0"/>
              <w:right w:val="single" w:color="auto" w:sz="4" w:space="0"/>
            </w:tcBorders>
            <w:shd w:val="clear" w:color="auto" w:fill="auto"/>
            <w:vAlign w:val="center"/>
          </w:tcPr>
          <w:p w14:paraId="77E9C32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500</w:t>
            </w:r>
          </w:p>
        </w:tc>
        <w:tc>
          <w:tcPr>
            <w:tcW w:w="658" w:type="dxa"/>
            <w:tcBorders>
              <w:top w:val="nil"/>
              <w:left w:val="nil"/>
              <w:bottom w:val="single" w:color="auto" w:sz="4" w:space="0"/>
              <w:right w:val="single" w:color="auto" w:sz="4" w:space="0"/>
            </w:tcBorders>
            <w:shd w:val="clear" w:color="auto" w:fill="auto"/>
            <w:vAlign w:val="center"/>
          </w:tcPr>
          <w:p w14:paraId="2C4798DB">
            <w:pPr>
              <w:widowControl/>
              <w:spacing w:line="240" w:lineRule="exact"/>
              <w:jc w:val="center"/>
              <w:rPr>
                <w:rFonts w:hint="eastAsia" w:ascii="仿宋_GB2312" w:hAnsi="仿宋_GB2312" w:eastAsia="仿宋_GB2312" w:cs="仿宋_GB2312"/>
                <w:color w:val="auto"/>
                <w:kern w:val="0"/>
                <w:sz w:val="20"/>
                <w:szCs w:val="20"/>
              </w:rPr>
            </w:pPr>
          </w:p>
        </w:tc>
      </w:tr>
      <w:tr w14:paraId="3EBF3C98">
        <w:tblPrEx>
          <w:tblCellMar>
            <w:top w:w="0" w:type="dxa"/>
            <w:left w:w="51" w:type="dxa"/>
            <w:bottom w:w="0" w:type="dxa"/>
            <w:right w:w="51" w:type="dxa"/>
          </w:tblCellMar>
        </w:tblPrEx>
        <w:trPr>
          <w:trHeight w:val="25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EFA7E16">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3</w:t>
            </w:r>
          </w:p>
        </w:tc>
        <w:tc>
          <w:tcPr>
            <w:tcW w:w="9862" w:type="dxa"/>
            <w:gridSpan w:val="7"/>
            <w:tcBorders>
              <w:top w:val="single" w:color="auto" w:sz="4" w:space="0"/>
              <w:left w:val="nil"/>
              <w:bottom w:val="single" w:color="auto" w:sz="4" w:space="0"/>
              <w:right w:val="single" w:color="auto" w:sz="4" w:space="0"/>
            </w:tcBorders>
            <w:shd w:val="clear" w:color="auto" w:fill="auto"/>
            <w:vAlign w:val="center"/>
          </w:tcPr>
          <w:p w14:paraId="6E23A126">
            <w:pPr>
              <w:widowControl/>
              <w:spacing w:line="240" w:lineRule="exact"/>
              <w:jc w:val="left"/>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主要河湖及区域生态环境治理保护修复工程</w:t>
            </w:r>
          </w:p>
        </w:tc>
        <w:tc>
          <w:tcPr>
            <w:tcW w:w="1043" w:type="dxa"/>
            <w:tcBorders>
              <w:top w:val="nil"/>
              <w:left w:val="nil"/>
              <w:bottom w:val="single" w:color="auto" w:sz="4" w:space="0"/>
              <w:right w:val="single" w:color="auto" w:sz="4" w:space="0"/>
            </w:tcBorders>
            <w:shd w:val="clear" w:color="auto" w:fill="auto"/>
            <w:vAlign w:val="center"/>
          </w:tcPr>
          <w:p w14:paraId="494EA71C">
            <w:pPr>
              <w:widowControl/>
              <w:spacing w:line="240" w:lineRule="exact"/>
              <w:jc w:val="both"/>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5320B93B">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516756</w:t>
            </w:r>
          </w:p>
        </w:tc>
        <w:tc>
          <w:tcPr>
            <w:tcW w:w="1196" w:type="dxa"/>
            <w:tcBorders>
              <w:top w:val="nil"/>
              <w:left w:val="nil"/>
              <w:bottom w:val="single" w:color="auto" w:sz="4" w:space="0"/>
              <w:right w:val="single" w:color="auto" w:sz="4" w:space="0"/>
            </w:tcBorders>
            <w:shd w:val="clear" w:color="auto" w:fill="auto"/>
            <w:vAlign w:val="center"/>
          </w:tcPr>
          <w:p w14:paraId="1BD4E8AC">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20756</w:t>
            </w:r>
          </w:p>
        </w:tc>
        <w:tc>
          <w:tcPr>
            <w:tcW w:w="658" w:type="dxa"/>
            <w:tcBorders>
              <w:top w:val="nil"/>
              <w:left w:val="nil"/>
              <w:bottom w:val="single" w:color="auto" w:sz="4" w:space="0"/>
              <w:right w:val="single" w:color="auto" w:sz="4" w:space="0"/>
            </w:tcBorders>
            <w:shd w:val="clear" w:color="auto" w:fill="auto"/>
            <w:vAlign w:val="center"/>
          </w:tcPr>
          <w:p w14:paraId="44ECC0BC">
            <w:pPr>
              <w:widowControl/>
              <w:spacing w:line="240" w:lineRule="exact"/>
              <w:jc w:val="center"/>
              <w:rPr>
                <w:rFonts w:hint="eastAsia" w:ascii="仿宋_GB2312" w:hAnsi="仿宋_GB2312" w:eastAsia="仿宋_GB2312" w:cs="仿宋_GB2312"/>
                <w:b/>
                <w:bCs/>
                <w:color w:val="auto"/>
                <w:kern w:val="0"/>
                <w:sz w:val="20"/>
                <w:szCs w:val="20"/>
              </w:rPr>
            </w:pPr>
          </w:p>
        </w:tc>
      </w:tr>
      <w:tr w14:paraId="24DBC4A7">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542536D5">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3-1</w:t>
            </w:r>
          </w:p>
        </w:tc>
        <w:tc>
          <w:tcPr>
            <w:tcW w:w="2069" w:type="dxa"/>
            <w:tcBorders>
              <w:top w:val="nil"/>
              <w:left w:val="nil"/>
              <w:bottom w:val="single" w:color="auto" w:sz="4" w:space="0"/>
              <w:right w:val="single" w:color="auto" w:sz="4" w:space="0"/>
            </w:tcBorders>
            <w:shd w:val="clear" w:color="auto" w:fill="auto"/>
            <w:vAlign w:val="center"/>
          </w:tcPr>
          <w:p w14:paraId="56F84E84">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河湖生态保</w:t>
            </w:r>
            <w:r>
              <w:rPr>
                <w:rFonts w:hint="eastAsia" w:ascii="仿宋_GB2312" w:hAnsi="仿宋_GB2312" w:eastAsia="仿宋_GB2312" w:cs="仿宋_GB2312"/>
                <w:b/>
                <w:bCs/>
                <w:color w:val="auto"/>
                <w:kern w:val="0"/>
                <w:sz w:val="20"/>
                <w:szCs w:val="20"/>
                <w:lang w:eastAsia="zh-CN"/>
              </w:rPr>
              <w:t>护和</w:t>
            </w:r>
            <w:r>
              <w:rPr>
                <w:rFonts w:hint="eastAsia" w:ascii="仿宋_GB2312" w:hAnsi="仿宋_GB2312" w:eastAsia="仿宋_GB2312" w:cs="仿宋_GB2312"/>
                <w:b/>
                <w:bCs/>
                <w:color w:val="auto"/>
                <w:kern w:val="0"/>
                <w:sz w:val="20"/>
                <w:szCs w:val="20"/>
              </w:rPr>
              <w:t>修复</w:t>
            </w:r>
          </w:p>
        </w:tc>
        <w:tc>
          <w:tcPr>
            <w:tcW w:w="932" w:type="dxa"/>
            <w:tcBorders>
              <w:top w:val="nil"/>
              <w:left w:val="nil"/>
              <w:bottom w:val="single" w:color="auto" w:sz="4" w:space="0"/>
              <w:right w:val="single" w:color="auto" w:sz="4" w:space="0"/>
            </w:tcBorders>
            <w:shd w:val="clear" w:color="auto" w:fill="auto"/>
            <w:vAlign w:val="center"/>
          </w:tcPr>
          <w:p w14:paraId="0218F702">
            <w:pPr>
              <w:widowControl/>
              <w:spacing w:line="240" w:lineRule="exact"/>
              <w:jc w:val="left"/>
              <w:rPr>
                <w:rFonts w:hint="eastAsia" w:ascii="仿宋_GB2312" w:hAnsi="仿宋_GB2312" w:eastAsia="仿宋_GB2312" w:cs="仿宋_GB2312"/>
                <w:color w:val="auto"/>
                <w:kern w:val="0"/>
                <w:sz w:val="20"/>
                <w:szCs w:val="20"/>
              </w:rPr>
            </w:pPr>
          </w:p>
        </w:tc>
        <w:tc>
          <w:tcPr>
            <w:tcW w:w="732" w:type="dxa"/>
            <w:tcBorders>
              <w:top w:val="nil"/>
              <w:left w:val="nil"/>
              <w:bottom w:val="single" w:color="auto" w:sz="4" w:space="0"/>
              <w:right w:val="single" w:color="auto" w:sz="4" w:space="0"/>
            </w:tcBorders>
            <w:shd w:val="clear" w:color="auto" w:fill="auto"/>
            <w:vAlign w:val="center"/>
          </w:tcPr>
          <w:p w14:paraId="584621C3">
            <w:pPr>
              <w:widowControl/>
              <w:spacing w:line="240" w:lineRule="exact"/>
              <w:jc w:val="left"/>
              <w:rPr>
                <w:rFonts w:hint="eastAsia" w:ascii="仿宋_GB2312" w:hAnsi="仿宋_GB2312" w:eastAsia="仿宋_GB2312" w:cs="仿宋_GB2312"/>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3CD174C8">
            <w:pPr>
              <w:widowControl/>
              <w:spacing w:line="240" w:lineRule="exact"/>
              <w:jc w:val="left"/>
              <w:rPr>
                <w:rFonts w:hint="eastAsia" w:ascii="仿宋_GB2312" w:hAnsi="仿宋_GB2312" w:eastAsia="仿宋_GB2312" w:cs="仿宋_GB2312"/>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7962D6B1">
            <w:pPr>
              <w:widowControl/>
              <w:spacing w:line="240" w:lineRule="exact"/>
              <w:jc w:val="left"/>
              <w:rPr>
                <w:rFonts w:hint="eastAsia" w:ascii="仿宋_GB2312" w:hAnsi="仿宋_GB2312" w:eastAsia="仿宋_GB2312" w:cs="仿宋_GB2312"/>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1902B06E">
            <w:pPr>
              <w:widowControl/>
              <w:spacing w:line="240" w:lineRule="exact"/>
              <w:jc w:val="left"/>
              <w:rPr>
                <w:rFonts w:hint="eastAsia" w:ascii="仿宋_GB2312" w:hAnsi="仿宋_GB2312" w:eastAsia="仿宋_GB2312" w:cs="仿宋_GB2312"/>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5D59D236">
            <w:pPr>
              <w:widowControl/>
              <w:spacing w:line="240" w:lineRule="exact"/>
              <w:jc w:val="left"/>
              <w:rPr>
                <w:rFonts w:hint="eastAsia" w:ascii="仿宋_GB2312" w:hAnsi="仿宋_GB2312" w:eastAsia="仿宋_GB2312" w:cs="仿宋_GB2312"/>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1D4DBEE8">
            <w:pPr>
              <w:widowControl/>
              <w:spacing w:line="240" w:lineRule="exact"/>
              <w:jc w:val="left"/>
              <w:rPr>
                <w:rFonts w:hint="eastAsia" w:ascii="仿宋_GB2312" w:hAnsi="仿宋_GB2312" w:eastAsia="仿宋_GB2312" w:cs="仿宋_GB2312"/>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6712A0A2">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500000</w:t>
            </w:r>
          </w:p>
        </w:tc>
        <w:tc>
          <w:tcPr>
            <w:tcW w:w="1196" w:type="dxa"/>
            <w:tcBorders>
              <w:top w:val="nil"/>
              <w:left w:val="nil"/>
              <w:bottom w:val="single" w:color="auto" w:sz="4" w:space="0"/>
              <w:right w:val="single" w:color="auto" w:sz="4" w:space="0"/>
            </w:tcBorders>
            <w:shd w:val="clear" w:color="auto" w:fill="auto"/>
            <w:vAlign w:val="center"/>
          </w:tcPr>
          <w:p w14:paraId="7A14EC05">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4000</w:t>
            </w:r>
          </w:p>
        </w:tc>
        <w:tc>
          <w:tcPr>
            <w:tcW w:w="658" w:type="dxa"/>
            <w:tcBorders>
              <w:top w:val="nil"/>
              <w:left w:val="nil"/>
              <w:bottom w:val="single" w:color="auto" w:sz="4" w:space="0"/>
              <w:right w:val="single" w:color="auto" w:sz="4" w:space="0"/>
            </w:tcBorders>
            <w:shd w:val="clear" w:color="auto" w:fill="auto"/>
            <w:vAlign w:val="center"/>
          </w:tcPr>
          <w:p w14:paraId="7395723A">
            <w:pPr>
              <w:widowControl/>
              <w:spacing w:line="240" w:lineRule="exact"/>
              <w:jc w:val="left"/>
              <w:rPr>
                <w:rFonts w:hint="eastAsia" w:ascii="仿宋_GB2312" w:hAnsi="仿宋_GB2312" w:eastAsia="仿宋_GB2312" w:cs="仿宋_GB2312"/>
                <w:color w:val="auto"/>
                <w:kern w:val="0"/>
                <w:sz w:val="20"/>
                <w:szCs w:val="20"/>
              </w:rPr>
            </w:pPr>
          </w:p>
        </w:tc>
      </w:tr>
      <w:tr w14:paraId="391A665B">
        <w:tblPrEx>
          <w:tblCellMar>
            <w:top w:w="0" w:type="dxa"/>
            <w:left w:w="51" w:type="dxa"/>
            <w:bottom w:w="0" w:type="dxa"/>
            <w:right w:w="51" w:type="dxa"/>
          </w:tblCellMar>
        </w:tblPrEx>
        <w:trPr>
          <w:trHeight w:val="130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17923B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3-1-1</w:t>
            </w:r>
          </w:p>
        </w:tc>
        <w:tc>
          <w:tcPr>
            <w:tcW w:w="2069" w:type="dxa"/>
            <w:tcBorders>
              <w:top w:val="nil"/>
              <w:left w:val="nil"/>
              <w:bottom w:val="single" w:color="auto" w:sz="4" w:space="0"/>
              <w:right w:val="single" w:color="auto" w:sz="4" w:space="0"/>
            </w:tcBorders>
            <w:shd w:val="clear" w:color="auto" w:fill="auto"/>
            <w:vAlign w:val="center"/>
          </w:tcPr>
          <w:p w14:paraId="12B3673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金沙江流域西藏昌都段生态修复治理工程</w:t>
            </w:r>
          </w:p>
        </w:tc>
        <w:tc>
          <w:tcPr>
            <w:tcW w:w="932" w:type="dxa"/>
            <w:tcBorders>
              <w:top w:val="nil"/>
              <w:left w:val="nil"/>
              <w:bottom w:val="single" w:color="auto" w:sz="4" w:space="0"/>
              <w:right w:val="single" w:color="auto" w:sz="4" w:space="0"/>
            </w:tcBorders>
            <w:shd w:val="clear" w:color="auto" w:fill="auto"/>
            <w:vAlign w:val="center"/>
          </w:tcPr>
          <w:p w14:paraId="3C0CE33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贡觉县、江达县、贡觉县</w:t>
            </w:r>
          </w:p>
        </w:tc>
        <w:tc>
          <w:tcPr>
            <w:tcW w:w="732" w:type="dxa"/>
            <w:tcBorders>
              <w:top w:val="nil"/>
              <w:left w:val="nil"/>
              <w:bottom w:val="single" w:color="auto" w:sz="4" w:space="0"/>
              <w:right w:val="single" w:color="auto" w:sz="4" w:space="0"/>
            </w:tcBorders>
            <w:shd w:val="clear" w:color="auto" w:fill="auto"/>
            <w:vAlign w:val="center"/>
          </w:tcPr>
          <w:p w14:paraId="64B49BE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893618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总体建设方案已审</w:t>
            </w:r>
          </w:p>
        </w:tc>
        <w:tc>
          <w:tcPr>
            <w:tcW w:w="3116" w:type="dxa"/>
            <w:tcBorders>
              <w:top w:val="nil"/>
              <w:left w:val="nil"/>
              <w:bottom w:val="single" w:color="auto" w:sz="4" w:space="0"/>
              <w:right w:val="single" w:color="auto" w:sz="4" w:space="0"/>
            </w:tcBorders>
            <w:shd w:val="clear" w:color="auto" w:fill="auto"/>
            <w:vAlign w:val="center"/>
          </w:tcPr>
          <w:p w14:paraId="7CC9D211">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工程任务以水土流失治理与生态修复为主，兼顾防洪、灌溉。治理生态小流域100条，治理岸线480公里；治理修复搬迁迹地约5万亩；新增和改善农田灌溉面积5.0万亩。</w:t>
            </w:r>
          </w:p>
        </w:tc>
        <w:tc>
          <w:tcPr>
            <w:tcW w:w="932" w:type="dxa"/>
            <w:tcBorders>
              <w:top w:val="nil"/>
              <w:left w:val="nil"/>
              <w:bottom w:val="single" w:color="auto" w:sz="4" w:space="0"/>
              <w:right w:val="single" w:color="auto" w:sz="4" w:space="0"/>
            </w:tcBorders>
            <w:shd w:val="clear" w:color="auto" w:fill="auto"/>
            <w:vAlign w:val="center"/>
          </w:tcPr>
          <w:p w14:paraId="4C8B612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46225F3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2030</w:t>
            </w:r>
          </w:p>
        </w:tc>
        <w:tc>
          <w:tcPr>
            <w:tcW w:w="1043" w:type="dxa"/>
            <w:tcBorders>
              <w:top w:val="nil"/>
              <w:left w:val="nil"/>
              <w:bottom w:val="single" w:color="auto" w:sz="4" w:space="0"/>
              <w:right w:val="single" w:color="auto" w:sz="4" w:space="0"/>
            </w:tcBorders>
            <w:shd w:val="clear" w:color="auto" w:fill="auto"/>
            <w:vAlign w:val="center"/>
          </w:tcPr>
          <w:p w14:paraId="2A5ED3B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1816B01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500000</w:t>
            </w:r>
          </w:p>
        </w:tc>
        <w:tc>
          <w:tcPr>
            <w:tcW w:w="1196" w:type="dxa"/>
            <w:tcBorders>
              <w:top w:val="nil"/>
              <w:left w:val="nil"/>
              <w:bottom w:val="single" w:color="auto" w:sz="4" w:space="0"/>
              <w:right w:val="single" w:color="auto" w:sz="4" w:space="0"/>
            </w:tcBorders>
            <w:shd w:val="clear" w:color="auto" w:fill="auto"/>
            <w:vAlign w:val="center"/>
          </w:tcPr>
          <w:p w14:paraId="3C53FF0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4000</w:t>
            </w:r>
          </w:p>
        </w:tc>
        <w:tc>
          <w:tcPr>
            <w:tcW w:w="658" w:type="dxa"/>
            <w:tcBorders>
              <w:top w:val="nil"/>
              <w:left w:val="nil"/>
              <w:bottom w:val="single" w:color="auto" w:sz="4" w:space="0"/>
              <w:right w:val="single" w:color="auto" w:sz="4" w:space="0"/>
            </w:tcBorders>
            <w:shd w:val="clear" w:color="auto" w:fill="auto"/>
            <w:vAlign w:val="center"/>
          </w:tcPr>
          <w:p w14:paraId="20561017">
            <w:pPr>
              <w:widowControl/>
              <w:spacing w:line="240" w:lineRule="exact"/>
              <w:jc w:val="center"/>
              <w:rPr>
                <w:rFonts w:hint="eastAsia" w:ascii="仿宋_GB2312" w:hAnsi="仿宋_GB2312" w:eastAsia="仿宋_GB2312" w:cs="仿宋_GB2312"/>
                <w:color w:val="auto"/>
                <w:kern w:val="0"/>
                <w:sz w:val="20"/>
                <w:szCs w:val="20"/>
              </w:rPr>
            </w:pPr>
          </w:p>
        </w:tc>
      </w:tr>
      <w:tr w14:paraId="5D947F7E">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040D00FF">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3-2</w:t>
            </w:r>
          </w:p>
        </w:tc>
        <w:tc>
          <w:tcPr>
            <w:tcW w:w="2069" w:type="dxa"/>
            <w:tcBorders>
              <w:top w:val="nil"/>
              <w:left w:val="nil"/>
              <w:bottom w:val="single" w:color="auto" w:sz="4" w:space="0"/>
              <w:right w:val="single" w:color="auto" w:sz="4" w:space="0"/>
            </w:tcBorders>
            <w:shd w:val="clear" w:color="auto" w:fill="auto"/>
            <w:vAlign w:val="center"/>
          </w:tcPr>
          <w:p w14:paraId="4E4DD887">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水土流失治理</w:t>
            </w:r>
          </w:p>
        </w:tc>
        <w:tc>
          <w:tcPr>
            <w:tcW w:w="932" w:type="dxa"/>
            <w:tcBorders>
              <w:top w:val="nil"/>
              <w:left w:val="nil"/>
              <w:bottom w:val="single" w:color="auto" w:sz="4" w:space="0"/>
              <w:right w:val="single" w:color="auto" w:sz="4" w:space="0"/>
            </w:tcBorders>
            <w:shd w:val="clear" w:color="auto" w:fill="auto"/>
            <w:vAlign w:val="center"/>
          </w:tcPr>
          <w:p w14:paraId="622C16DD">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5</w:t>
            </w:r>
          </w:p>
        </w:tc>
        <w:tc>
          <w:tcPr>
            <w:tcW w:w="732" w:type="dxa"/>
            <w:tcBorders>
              <w:top w:val="nil"/>
              <w:left w:val="nil"/>
              <w:bottom w:val="single" w:color="auto" w:sz="4" w:space="0"/>
              <w:right w:val="single" w:color="auto" w:sz="4" w:space="0"/>
            </w:tcBorders>
            <w:shd w:val="clear" w:color="auto" w:fill="auto"/>
            <w:vAlign w:val="center"/>
          </w:tcPr>
          <w:p w14:paraId="33F0B6CB">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7D28D6D1">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329DBF3A">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36EB3591">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7AE264E6">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5FB88A42">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4E96DA50">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11036</w:t>
            </w:r>
          </w:p>
        </w:tc>
        <w:tc>
          <w:tcPr>
            <w:tcW w:w="1196" w:type="dxa"/>
            <w:tcBorders>
              <w:top w:val="nil"/>
              <w:left w:val="nil"/>
              <w:bottom w:val="single" w:color="auto" w:sz="4" w:space="0"/>
              <w:right w:val="single" w:color="auto" w:sz="4" w:space="0"/>
            </w:tcBorders>
            <w:shd w:val="clear" w:color="auto" w:fill="auto"/>
            <w:vAlign w:val="center"/>
          </w:tcPr>
          <w:p w14:paraId="54CFCCA1">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11036</w:t>
            </w:r>
          </w:p>
        </w:tc>
        <w:tc>
          <w:tcPr>
            <w:tcW w:w="658" w:type="dxa"/>
            <w:tcBorders>
              <w:top w:val="nil"/>
              <w:left w:val="nil"/>
              <w:bottom w:val="single" w:color="auto" w:sz="4" w:space="0"/>
              <w:right w:val="single" w:color="auto" w:sz="4" w:space="0"/>
            </w:tcBorders>
            <w:shd w:val="clear" w:color="auto" w:fill="auto"/>
            <w:vAlign w:val="center"/>
          </w:tcPr>
          <w:p w14:paraId="4C923191">
            <w:pPr>
              <w:widowControl/>
              <w:spacing w:line="240" w:lineRule="exact"/>
              <w:jc w:val="center"/>
              <w:rPr>
                <w:rFonts w:hint="eastAsia" w:ascii="仿宋_GB2312" w:hAnsi="仿宋_GB2312" w:eastAsia="仿宋_GB2312" w:cs="仿宋_GB2312"/>
                <w:b/>
                <w:bCs/>
                <w:color w:val="auto"/>
                <w:kern w:val="0"/>
                <w:sz w:val="20"/>
                <w:szCs w:val="20"/>
              </w:rPr>
            </w:pPr>
          </w:p>
        </w:tc>
      </w:tr>
      <w:tr w14:paraId="584D215C">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13F8D80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3-2-1</w:t>
            </w:r>
          </w:p>
        </w:tc>
        <w:tc>
          <w:tcPr>
            <w:tcW w:w="2069" w:type="dxa"/>
            <w:tcBorders>
              <w:top w:val="nil"/>
              <w:left w:val="nil"/>
              <w:bottom w:val="single" w:color="auto" w:sz="4" w:space="0"/>
              <w:right w:val="single" w:color="auto" w:sz="4" w:space="0"/>
            </w:tcBorders>
            <w:shd w:val="clear" w:color="auto" w:fill="auto"/>
            <w:vAlign w:val="center"/>
          </w:tcPr>
          <w:p w14:paraId="40939ED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类乌齐县类乌齐镇觉恩村水土流失综合治理工程</w:t>
            </w:r>
          </w:p>
        </w:tc>
        <w:tc>
          <w:tcPr>
            <w:tcW w:w="932" w:type="dxa"/>
            <w:tcBorders>
              <w:top w:val="nil"/>
              <w:left w:val="nil"/>
              <w:bottom w:val="single" w:color="auto" w:sz="4" w:space="0"/>
              <w:right w:val="single" w:color="auto" w:sz="4" w:space="0"/>
            </w:tcBorders>
            <w:shd w:val="clear" w:color="auto" w:fill="auto"/>
            <w:vAlign w:val="center"/>
          </w:tcPr>
          <w:p w14:paraId="724376B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类乌齐县</w:t>
            </w:r>
          </w:p>
        </w:tc>
        <w:tc>
          <w:tcPr>
            <w:tcW w:w="732" w:type="dxa"/>
            <w:tcBorders>
              <w:top w:val="nil"/>
              <w:left w:val="nil"/>
              <w:bottom w:val="single" w:color="auto" w:sz="4" w:space="0"/>
              <w:right w:val="single" w:color="auto" w:sz="4" w:space="0"/>
            </w:tcBorders>
            <w:shd w:val="clear" w:color="auto" w:fill="auto"/>
            <w:vAlign w:val="center"/>
          </w:tcPr>
          <w:p w14:paraId="11F38DE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34A0A20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752D702D">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治理水土流失面积40平方公里</w:t>
            </w:r>
          </w:p>
        </w:tc>
        <w:tc>
          <w:tcPr>
            <w:tcW w:w="932" w:type="dxa"/>
            <w:tcBorders>
              <w:top w:val="nil"/>
              <w:left w:val="nil"/>
              <w:bottom w:val="single" w:color="auto" w:sz="4" w:space="0"/>
              <w:right w:val="single" w:color="auto" w:sz="4" w:space="0"/>
            </w:tcBorders>
            <w:shd w:val="clear" w:color="auto" w:fill="auto"/>
            <w:vAlign w:val="center"/>
          </w:tcPr>
          <w:p w14:paraId="16B7E81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4728F7E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18A2EAD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4638C84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2036</w:t>
            </w:r>
          </w:p>
        </w:tc>
        <w:tc>
          <w:tcPr>
            <w:tcW w:w="1196" w:type="dxa"/>
            <w:tcBorders>
              <w:top w:val="nil"/>
              <w:left w:val="nil"/>
              <w:bottom w:val="single" w:color="auto" w:sz="4" w:space="0"/>
              <w:right w:val="single" w:color="auto" w:sz="4" w:space="0"/>
            </w:tcBorders>
            <w:shd w:val="clear" w:color="auto" w:fill="auto"/>
            <w:vAlign w:val="center"/>
          </w:tcPr>
          <w:p w14:paraId="167FED5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2036</w:t>
            </w:r>
          </w:p>
        </w:tc>
        <w:tc>
          <w:tcPr>
            <w:tcW w:w="658" w:type="dxa"/>
            <w:tcBorders>
              <w:top w:val="nil"/>
              <w:left w:val="nil"/>
              <w:bottom w:val="single" w:color="auto" w:sz="4" w:space="0"/>
              <w:right w:val="single" w:color="auto" w:sz="4" w:space="0"/>
            </w:tcBorders>
            <w:shd w:val="clear" w:color="auto" w:fill="auto"/>
            <w:vAlign w:val="center"/>
          </w:tcPr>
          <w:p w14:paraId="5CBA73C4">
            <w:pPr>
              <w:widowControl/>
              <w:spacing w:line="240" w:lineRule="exact"/>
              <w:jc w:val="center"/>
              <w:rPr>
                <w:rFonts w:hint="eastAsia" w:ascii="仿宋_GB2312" w:hAnsi="仿宋_GB2312" w:eastAsia="仿宋_GB2312" w:cs="仿宋_GB2312"/>
                <w:color w:val="auto"/>
                <w:kern w:val="0"/>
                <w:sz w:val="20"/>
                <w:szCs w:val="20"/>
              </w:rPr>
            </w:pPr>
          </w:p>
        </w:tc>
      </w:tr>
      <w:tr w14:paraId="20AD1BE0">
        <w:tblPrEx>
          <w:tblCellMar>
            <w:top w:w="0" w:type="dxa"/>
            <w:left w:w="51" w:type="dxa"/>
            <w:bottom w:w="0" w:type="dxa"/>
            <w:right w:w="51" w:type="dxa"/>
          </w:tblCellMar>
        </w:tblPrEx>
        <w:trPr>
          <w:trHeight w:val="63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2140216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3-2-2</w:t>
            </w:r>
          </w:p>
        </w:tc>
        <w:tc>
          <w:tcPr>
            <w:tcW w:w="2069" w:type="dxa"/>
            <w:tcBorders>
              <w:top w:val="nil"/>
              <w:left w:val="nil"/>
              <w:bottom w:val="single" w:color="auto" w:sz="4" w:space="0"/>
              <w:right w:val="single" w:color="auto" w:sz="4" w:space="0"/>
            </w:tcBorders>
            <w:shd w:val="clear" w:color="auto" w:fill="auto"/>
            <w:vAlign w:val="center"/>
          </w:tcPr>
          <w:p w14:paraId="1648FDE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江达县雪巴沟生态产业示范园建设工程</w:t>
            </w:r>
          </w:p>
        </w:tc>
        <w:tc>
          <w:tcPr>
            <w:tcW w:w="932" w:type="dxa"/>
            <w:tcBorders>
              <w:top w:val="nil"/>
              <w:left w:val="nil"/>
              <w:bottom w:val="single" w:color="auto" w:sz="4" w:space="0"/>
              <w:right w:val="single" w:color="auto" w:sz="4" w:space="0"/>
            </w:tcBorders>
            <w:shd w:val="clear" w:color="auto" w:fill="auto"/>
            <w:vAlign w:val="center"/>
          </w:tcPr>
          <w:p w14:paraId="03B434D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4930FE7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5ED95A4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621675E8">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治理水土流失面积50平方公里</w:t>
            </w:r>
          </w:p>
        </w:tc>
        <w:tc>
          <w:tcPr>
            <w:tcW w:w="932" w:type="dxa"/>
            <w:tcBorders>
              <w:top w:val="nil"/>
              <w:left w:val="nil"/>
              <w:bottom w:val="single" w:color="auto" w:sz="4" w:space="0"/>
              <w:right w:val="single" w:color="auto" w:sz="4" w:space="0"/>
            </w:tcBorders>
            <w:shd w:val="clear" w:color="auto" w:fill="auto"/>
            <w:vAlign w:val="center"/>
          </w:tcPr>
          <w:p w14:paraId="15B5647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67DC514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34F7C47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3206081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2500</w:t>
            </w:r>
          </w:p>
        </w:tc>
        <w:tc>
          <w:tcPr>
            <w:tcW w:w="1196" w:type="dxa"/>
            <w:tcBorders>
              <w:top w:val="nil"/>
              <w:left w:val="nil"/>
              <w:bottom w:val="single" w:color="auto" w:sz="4" w:space="0"/>
              <w:right w:val="single" w:color="auto" w:sz="4" w:space="0"/>
            </w:tcBorders>
            <w:shd w:val="clear" w:color="auto" w:fill="auto"/>
            <w:vAlign w:val="center"/>
          </w:tcPr>
          <w:p w14:paraId="470609D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2500</w:t>
            </w:r>
          </w:p>
        </w:tc>
        <w:tc>
          <w:tcPr>
            <w:tcW w:w="658" w:type="dxa"/>
            <w:tcBorders>
              <w:top w:val="nil"/>
              <w:left w:val="nil"/>
              <w:bottom w:val="single" w:color="auto" w:sz="4" w:space="0"/>
              <w:right w:val="single" w:color="auto" w:sz="4" w:space="0"/>
            </w:tcBorders>
            <w:shd w:val="clear" w:color="auto" w:fill="auto"/>
            <w:vAlign w:val="center"/>
          </w:tcPr>
          <w:p w14:paraId="0D84060A">
            <w:pPr>
              <w:widowControl/>
              <w:spacing w:line="240" w:lineRule="exact"/>
              <w:jc w:val="center"/>
              <w:rPr>
                <w:rFonts w:hint="eastAsia" w:ascii="仿宋_GB2312" w:hAnsi="仿宋_GB2312" w:eastAsia="仿宋_GB2312" w:cs="仿宋_GB2312"/>
                <w:color w:val="auto"/>
                <w:kern w:val="0"/>
                <w:sz w:val="20"/>
                <w:szCs w:val="20"/>
              </w:rPr>
            </w:pPr>
          </w:p>
        </w:tc>
      </w:tr>
      <w:tr w14:paraId="76015619">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2B9B50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3-2-3</w:t>
            </w:r>
          </w:p>
        </w:tc>
        <w:tc>
          <w:tcPr>
            <w:tcW w:w="2069" w:type="dxa"/>
            <w:tcBorders>
              <w:top w:val="nil"/>
              <w:left w:val="nil"/>
              <w:bottom w:val="single" w:color="auto" w:sz="4" w:space="0"/>
              <w:right w:val="single" w:color="auto" w:sz="4" w:space="0"/>
            </w:tcBorders>
            <w:shd w:val="clear" w:color="auto" w:fill="auto"/>
            <w:vAlign w:val="center"/>
          </w:tcPr>
          <w:p w14:paraId="3D4C0D7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江达县邓柯乡郎吉村水土流失治理工程</w:t>
            </w:r>
          </w:p>
        </w:tc>
        <w:tc>
          <w:tcPr>
            <w:tcW w:w="932" w:type="dxa"/>
            <w:tcBorders>
              <w:top w:val="nil"/>
              <w:left w:val="nil"/>
              <w:bottom w:val="single" w:color="auto" w:sz="4" w:space="0"/>
              <w:right w:val="single" w:color="auto" w:sz="4" w:space="0"/>
            </w:tcBorders>
            <w:shd w:val="clear" w:color="auto" w:fill="auto"/>
            <w:vAlign w:val="center"/>
          </w:tcPr>
          <w:p w14:paraId="78B5F9D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江达县</w:t>
            </w:r>
          </w:p>
        </w:tc>
        <w:tc>
          <w:tcPr>
            <w:tcW w:w="732" w:type="dxa"/>
            <w:tcBorders>
              <w:top w:val="nil"/>
              <w:left w:val="nil"/>
              <w:bottom w:val="single" w:color="auto" w:sz="4" w:space="0"/>
              <w:right w:val="single" w:color="auto" w:sz="4" w:space="0"/>
            </w:tcBorders>
            <w:shd w:val="clear" w:color="auto" w:fill="auto"/>
            <w:vAlign w:val="center"/>
          </w:tcPr>
          <w:p w14:paraId="1A0E1A1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184627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正在编制可研</w:t>
            </w:r>
          </w:p>
        </w:tc>
        <w:tc>
          <w:tcPr>
            <w:tcW w:w="3116" w:type="dxa"/>
            <w:tcBorders>
              <w:top w:val="nil"/>
              <w:left w:val="nil"/>
              <w:bottom w:val="single" w:color="auto" w:sz="4" w:space="0"/>
              <w:right w:val="single" w:color="auto" w:sz="4" w:space="0"/>
            </w:tcBorders>
            <w:shd w:val="clear" w:color="auto" w:fill="auto"/>
            <w:vAlign w:val="center"/>
          </w:tcPr>
          <w:p w14:paraId="62E11DA9">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治理水土流失面积40平方公里</w:t>
            </w:r>
          </w:p>
        </w:tc>
        <w:tc>
          <w:tcPr>
            <w:tcW w:w="932" w:type="dxa"/>
            <w:tcBorders>
              <w:top w:val="nil"/>
              <w:left w:val="nil"/>
              <w:bottom w:val="single" w:color="auto" w:sz="4" w:space="0"/>
              <w:right w:val="single" w:color="auto" w:sz="4" w:space="0"/>
            </w:tcBorders>
            <w:shd w:val="clear" w:color="auto" w:fill="auto"/>
            <w:vAlign w:val="center"/>
          </w:tcPr>
          <w:p w14:paraId="05719B1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225F2EF7">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239D116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中央预算内投资</w:t>
            </w:r>
          </w:p>
        </w:tc>
        <w:tc>
          <w:tcPr>
            <w:tcW w:w="1043" w:type="dxa"/>
            <w:tcBorders>
              <w:top w:val="nil"/>
              <w:left w:val="nil"/>
              <w:bottom w:val="single" w:color="auto" w:sz="4" w:space="0"/>
              <w:right w:val="single" w:color="auto" w:sz="4" w:space="0"/>
            </w:tcBorders>
            <w:shd w:val="clear" w:color="auto" w:fill="auto"/>
            <w:vAlign w:val="center"/>
          </w:tcPr>
          <w:p w14:paraId="4D287B4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2000</w:t>
            </w:r>
          </w:p>
        </w:tc>
        <w:tc>
          <w:tcPr>
            <w:tcW w:w="1196" w:type="dxa"/>
            <w:tcBorders>
              <w:top w:val="nil"/>
              <w:left w:val="nil"/>
              <w:bottom w:val="single" w:color="auto" w:sz="4" w:space="0"/>
              <w:right w:val="single" w:color="auto" w:sz="4" w:space="0"/>
            </w:tcBorders>
            <w:shd w:val="clear" w:color="auto" w:fill="auto"/>
            <w:vAlign w:val="center"/>
          </w:tcPr>
          <w:p w14:paraId="7B9E34A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2000</w:t>
            </w:r>
          </w:p>
        </w:tc>
        <w:tc>
          <w:tcPr>
            <w:tcW w:w="658" w:type="dxa"/>
            <w:tcBorders>
              <w:top w:val="nil"/>
              <w:left w:val="nil"/>
              <w:bottom w:val="single" w:color="auto" w:sz="4" w:space="0"/>
              <w:right w:val="single" w:color="auto" w:sz="4" w:space="0"/>
            </w:tcBorders>
            <w:shd w:val="clear" w:color="auto" w:fill="auto"/>
            <w:vAlign w:val="center"/>
          </w:tcPr>
          <w:p w14:paraId="4BA5A721">
            <w:pPr>
              <w:widowControl/>
              <w:spacing w:line="240" w:lineRule="exact"/>
              <w:jc w:val="center"/>
              <w:rPr>
                <w:rFonts w:hint="eastAsia" w:ascii="仿宋_GB2312" w:hAnsi="仿宋_GB2312" w:eastAsia="仿宋_GB2312" w:cs="仿宋_GB2312"/>
                <w:color w:val="auto"/>
                <w:kern w:val="0"/>
                <w:sz w:val="20"/>
                <w:szCs w:val="20"/>
              </w:rPr>
            </w:pPr>
          </w:p>
        </w:tc>
      </w:tr>
      <w:tr w14:paraId="682E6FE3">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74524C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3-2-4</w:t>
            </w:r>
          </w:p>
        </w:tc>
        <w:tc>
          <w:tcPr>
            <w:tcW w:w="2069" w:type="dxa"/>
            <w:tcBorders>
              <w:top w:val="nil"/>
              <w:left w:val="nil"/>
              <w:bottom w:val="single" w:color="auto" w:sz="4" w:space="0"/>
              <w:right w:val="single" w:color="auto" w:sz="4" w:space="0"/>
            </w:tcBorders>
            <w:shd w:val="clear" w:color="auto" w:fill="auto"/>
            <w:vAlign w:val="center"/>
          </w:tcPr>
          <w:p w14:paraId="1070519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昌都市城市水土保持工程</w:t>
            </w:r>
          </w:p>
        </w:tc>
        <w:tc>
          <w:tcPr>
            <w:tcW w:w="932" w:type="dxa"/>
            <w:tcBorders>
              <w:top w:val="nil"/>
              <w:left w:val="nil"/>
              <w:bottom w:val="single" w:color="auto" w:sz="4" w:space="0"/>
              <w:right w:val="single" w:color="auto" w:sz="4" w:space="0"/>
            </w:tcBorders>
            <w:shd w:val="clear" w:color="auto" w:fill="auto"/>
            <w:vAlign w:val="center"/>
          </w:tcPr>
          <w:p w14:paraId="02511E6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w:t>
            </w:r>
          </w:p>
        </w:tc>
        <w:tc>
          <w:tcPr>
            <w:tcW w:w="732" w:type="dxa"/>
            <w:tcBorders>
              <w:top w:val="nil"/>
              <w:left w:val="nil"/>
              <w:bottom w:val="single" w:color="auto" w:sz="4" w:space="0"/>
              <w:right w:val="single" w:color="auto" w:sz="4" w:space="0"/>
            </w:tcBorders>
            <w:shd w:val="clear" w:color="auto" w:fill="auto"/>
            <w:vAlign w:val="center"/>
          </w:tcPr>
          <w:p w14:paraId="7026B58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0FF6E1B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2BFBD183">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治理水土流失面积40平方公里</w:t>
            </w:r>
          </w:p>
        </w:tc>
        <w:tc>
          <w:tcPr>
            <w:tcW w:w="932" w:type="dxa"/>
            <w:tcBorders>
              <w:top w:val="nil"/>
              <w:left w:val="nil"/>
              <w:bottom w:val="single" w:color="auto" w:sz="4" w:space="0"/>
              <w:right w:val="single" w:color="auto" w:sz="4" w:space="0"/>
            </w:tcBorders>
            <w:shd w:val="clear" w:color="auto" w:fill="auto"/>
            <w:vAlign w:val="center"/>
          </w:tcPr>
          <w:p w14:paraId="219DBEC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70BD5EE2">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15F7450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2FE1C3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2000</w:t>
            </w:r>
          </w:p>
        </w:tc>
        <w:tc>
          <w:tcPr>
            <w:tcW w:w="1196" w:type="dxa"/>
            <w:tcBorders>
              <w:top w:val="nil"/>
              <w:left w:val="nil"/>
              <w:bottom w:val="single" w:color="auto" w:sz="4" w:space="0"/>
              <w:right w:val="single" w:color="auto" w:sz="4" w:space="0"/>
            </w:tcBorders>
            <w:shd w:val="clear" w:color="auto" w:fill="auto"/>
            <w:vAlign w:val="center"/>
          </w:tcPr>
          <w:p w14:paraId="7C8D243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2000</w:t>
            </w:r>
          </w:p>
        </w:tc>
        <w:tc>
          <w:tcPr>
            <w:tcW w:w="658" w:type="dxa"/>
            <w:tcBorders>
              <w:top w:val="nil"/>
              <w:left w:val="nil"/>
              <w:bottom w:val="single" w:color="auto" w:sz="4" w:space="0"/>
              <w:right w:val="single" w:color="auto" w:sz="4" w:space="0"/>
            </w:tcBorders>
            <w:shd w:val="clear" w:color="auto" w:fill="auto"/>
            <w:vAlign w:val="center"/>
          </w:tcPr>
          <w:p w14:paraId="32D83A2F">
            <w:pPr>
              <w:widowControl/>
              <w:spacing w:line="240" w:lineRule="exact"/>
              <w:jc w:val="center"/>
              <w:rPr>
                <w:rFonts w:hint="eastAsia" w:ascii="仿宋_GB2312" w:hAnsi="仿宋_GB2312" w:eastAsia="仿宋_GB2312" w:cs="仿宋_GB2312"/>
                <w:color w:val="auto"/>
                <w:kern w:val="0"/>
                <w:sz w:val="20"/>
                <w:szCs w:val="20"/>
              </w:rPr>
            </w:pPr>
          </w:p>
        </w:tc>
      </w:tr>
      <w:tr w14:paraId="385FF2FE">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3BBACC8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3-2-5</w:t>
            </w:r>
          </w:p>
        </w:tc>
        <w:tc>
          <w:tcPr>
            <w:tcW w:w="2069" w:type="dxa"/>
            <w:tcBorders>
              <w:top w:val="nil"/>
              <w:left w:val="nil"/>
              <w:bottom w:val="single" w:color="auto" w:sz="4" w:space="0"/>
              <w:right w:val="single" w:color="auto" w:sz="4" w:space="0"/>
            </w:tcBorders>
            <w:shd w:val="clear" w:color="auto" w:fill="auto"/>
            <w:vAlign w:val="center"/>
          </w:tcPr>
          <w:p w14:paraId="2DDC046A">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昌都市易地扶贫搬迁安置区水土保持生态治理工程</w:t>
            </w:r>
          </w:p>
        </w:tc>
        <w:tc>
          <w:tcPr>
            <w:tcW w:w="932" w:type="dxa"/>
            <w:tcBorders>
              <w:top w:val="nil"/>
              <w:left w:val="nil"/>
              <w:bottom w:val="single" w:color="auto" w:sz="4" w:space="0"/>
              <w:right w:val="single" w:color="auto" w:sz="4" w:space="0"/>
            </w:tcBorders>
            <w:shd w:val="clear" w:color="auto" w:fill="auto"/>
            <w:vAlign w:val="center"/>
          </w:tcPr>
          <w:p w14:paraId="30B5836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卡若区</w:t>
            </w:r>
          </w:p>
        </w:tc>
        <w:tc>
          <w:tcPr>
            <w:tcW w:w="732" w:type="dxa"/>
            <w:tcBorders>
              <w:top w:val="nil"/>
              <w:left w:val="nil"/>
              <w:bottom w:val="single" w:color="auto" w:sz="4" w:space="0"/>
              <w:right w:val="single" w:color="auto" w:sz="4" w:space="0"/>
            </w:tcBorders>
            <w:shd w:val="clear" w:color="auto" w:fill="auto"/>
            <w:vAlign w:val="center"/>
          </w:tcPr>
          <w:p w14:paraId="5469AC05">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26648B5B">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5651F82F">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治理水土流失面积50平方公里</w:t>
            </w:r>
          </w:p>
        </w:tc>
        <w:tc>
          <w:tcPr>
            <w:tcW w:w="932" w:type="dxa"/>
            <w:tcBorders>
              <w:top w:val="nil"/>
              <w:left w:val="nil"/>
              <w:bottom w:val="single" w:color="auto" w:sz="4" w:space="0"/>
              <w:right w:val="single" w:color="auto" w:sz="4" w:space="0"/>
            </w:tcBorders>
            <w:shd w:val="clear" w:color="auto" w:fill="auto"/>
            <w:vAlign w:val="center"/>
          </w:tcPr>
          <w:p w14:paraId="1A953F1C">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2022</w:t>
            </w:r>
          </w:p>
        </w:tc>
        <w:tc>
          <w:tcPr>
            <w:tcW w:w="946" w:type="dxa"/>
            <w:tcBorders>
              <w:top w:val="nil"/>
              <w:left w:val="nil"/>
              <w:bottom w:val="single" w:color="auto" w:sz="4" w:space="0"/>
              <w:right w:val="single" w:color="auto" w:sz="4" w:space="0"/>
            </w:tcBorders>
            <w:shd w:val="clear" w:color="auto" w:fill="auto"/>
            <w:vAlign w:val="center"/>
          </w:tcPr>
          <w:p w14:paraId="2E78457D">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1043" w:type="dxa"/>
            <w:tcBorders>
              <w:top w:val="nil"/>
              <w:left w:val="nil"/>
              <w:bottom w:val="single" w:color="auto" w:sz="4" w:space="0"/>
              <w:right w:val="single" w:color="auto" w:sz="4" w:space="0"/>
            </w:tcBorders>
            <w:shd w:val="clear" w:color="auto" w:fill="auto"/>
            <w:vAlign w:val="center"/>
          </w:tcPr>
          <w:p w14:paraId="5D2F38F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59DCA5F6">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2500</w:t>
            </w:r>
          </w:p>
        </w:tc>
        <w:tc>
          <w:tcPr>
            <w:tcW w:w="1196" w:type="dxa"/>
            <w:tcBorders>
              <w:top w:val="nil"/>
              <w:left w:val="nil"/>
              <w:bottom w:val="single" w:color="auto" w:sz="4" w:space="0"/>
              <w:right w:val="single" w:color="auto" w:sz="4" w:space="0"/>
            </w:tcBorders>
            <w:shd w:val="clear" w:color="auto" w:fill="auto"/>
            <w:vAlign w:val="center"/>
          </w:tcPr>
          <w:p w14:paraId="63309841">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2500</w:t>
            </w:r>
          </w:p>
        </w:tc>
        <w:tc>
          <w:tcPr>
            <w:tcW w:w="658" w:type="dxa"/>
            <w:tcBorders>
              <w:top w:val="nil"/>
              <w:left w:val="nil"/>
              <w:bottom w:val="single" w:color="auto" w:sz="4" w:space="0"/>
              <w:right w:val="single" w:color="auto" w:sz="4" w:space="0"/>
            </w:tcBorders>
            <w:shd w:val="clear" w:color="auto" w:fill="auto"/>
            <w:vAlign w:val="center"/>
          </w:tcPr>
          <w:p w14:paraId="0E43F294">
            <w:pPr>
              <w:widowControl/>
              <w:spacing w:line="240" w:lineRule="exact"/>
              <w:jc w:val="center"/>
              <w:rPr>
                <w:rFonts w:hint="eastAsia" w:ascii="仿宋_GB2312" w:hAnsi="仿宋_GB2312" w:eastAsia="仿宋_GB2312" w:cs="仿宋_GB2312"/>
                <w:color w:val="auto"/>
                <w:kern w:val="0"/>
                <w:sz w:val="20"/>
                <w:szCs w:val="20"/>
              </w:rPr>
            </w:pPr>
          </w:p>
        </w:tc>
      </w:tr>
      <w:tr w14:paraId="6FE81056">
        <w:tblPrEx>
          <w:tblCellMar>
            <w:top w:w="0" w:type="dxa"/>
            <w:left w:w="51" w:type="dxa"/>
            <w:bottom w:w="0" w:type="dxa"/>
            <w:right w:w="51" w:type="dxa"/>
          </w:tblCellMar>
        </w:tblPrEx>
        <w:trPr>
          <w:trHeight w:val="20"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4154F80A">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3-3</w:t>
            </w:r>
          </w:p>
        </w:tc>
        <w:tc>
          <w:tcPr>
            <w:tcW w:w="2069" w:type="dxa"/>
            <w:tcBorders>
              <w:top w:val="nil"/>
              <w:left w:val="nil"/>
              <w:bottom w:val="single" w:color="auto" w:sz="4" w:space="0"/>
              <w:right w:val="single" w:color="auto" w:sz="4" w:space="0"/>
            </w:tcBorders>
            <w:shd w:val="clear" w:color="auto" w:fill="auto"/>
            <w:vAlign w:val="center"/>
          </w:tcPr>
          <w:p w14:paraId="6A029C14">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水系连通及水美乡村建设</w:t>
            </w:r>
          </w:p>
        </w:tc>
        <w:tc>
          <w:tcPr>
            <w:tcW w:w="932" w:type="dxa"/>
            <w:tcBorders>
              <w:top w:val="nil"/>
              <w:left w:val="nil"/>
              <w:bottom w:val="single" w:color="auto" w:sz="4" w:space="0"/>
              <w:right w:val="single" w:color="auto" w:sz="4" w:space="0"/>
            </w:tcBorders>
            <w:shd w:val="clear" w:color="auto" w:fill="auto"/>
            <w:vAlign w:val="center"/>
          </w:tcPr>
          <w:p w14:paraId="262F67E3">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1</w:t>
            </w:r>
          </w:p>
        </w:tc>
        <w:tc>
          <w:tcPr>
            <w:tcW w:w="732" w:type="dxa"/>
            <w:tcBorders>
              <w:top w:val="nil"/>
              <w:left w:val="nil"/>
              <w:bottom w:val="single" w:color="auto" w:sz="4" w:space="0"/>
              <w:right w:val="single" w:color="auto" w:sz="4" w:space="0"/>
            </w:tcBorders>
            <w:shd w:val="clear" w:color="auto" w:fill="auto"/>
            <w:vAlign w:val="center"/>
          </w:tcPr>
          <w:p w14:paraId="14D6F4DA">
            <w:pPr>
              <w:widowControl/>
              <w:spacing w:line="240" w:lineRule="exact"/>
              <w:jc w:val="center"/>
              <w:rPr>
                <w:rFonts w:hint="eastAsia" w:ascii="仿宋_GB2312" w:hAnsi="仿宋_GB2312" w:eastAsia="仿宋_GB2312" w:cs="仿宋_GB2312"/>
                <w:b/>
                <w:bCs/>
                <w:color w:val="auto"/>
                <w:kern w:val="0"/>
                <w:sz w:val="20"/>
                <w:szCs w:val="20"/>
              </w:rPr>
            </w:pPr>
          </w:p>
        </w:tc>
        <w:tc>
          <w:tcPr>
            <w:tcW w:w="1135" w:type="dxa"/>
            <w:tcBorders>
              <w:top w:val="nil"/>
              <w:left w:val="nil"/>
              <w:bottom w:val="single" w:color="auto" w:sz="4" w:space="0"/>
              <w:right w:val="single" w:color="auto" w:sz="4" w:space="0"/>
            </w:tcBorders>
            <w:shd w:val="clear" w:color="auto" w:fill="auto"/>
            <w:vAlign w:val="center"/>
          </w:tcPr>
          <w:p w14:paraId="2C1E0F42">
            <w:pPr>
              <w:widowControl/>
              <w:spacing w:line="240" w:lineRule="exact"/>
              <w:jc w:val="center"/>
              <w:rPr>
                <w:rFonts w:hint="eastAsia" w:ascii="仿宋_GB2312" w:hAnsi="仿宋_GB2312" w:eastAsia="仿宋_GB2312" w:cs="仿宋_GB2312"/>
                <w:b/>
                <w:bCs/>
                <w:color w:val="auto"/>
                <w:kern w:val="0"/>
                <w:sz w:val="20"/>
                <w:szCs w:val="20"/>
              </w:rPr>
            </w:pPr>
          </w:p>
        </w:tc>
        <w:tc>
          <w:tcPr>
            <w:tcW w:w="3116" w:type="dxa"/>
            <w:tcBorders>
              <w:top w:val="nil"/>
              <w:left w:val="nil"/>
              <w:bottom w:val="single" w:color="auto" w:sz="4" w:space="0"/>
              <w:right w:val="single" w:color="auto" w:sz="4" w:space="0"/>
            </w:tcBorders>
            <w:shd w:val="clear" w:color="auto" w:fill="auto"/>
            <w:vAlign w:val="center"/>
          </w:tcPr>
          <w:p w14:paraId="31EC7A6E">
            <w:pPr>
              <w:widowControl/>
              <w:spacing w:line="240" w:lineRule="exact"/>
              <w:jc w:val="left"/>
              <w:rPr>
                <w:rFonts w:hint="eastAsia" w:ascii="仿宋_GB2312" w:hAnsi="仿宋_GB2312" w:eastAsia="仿宋_GB2312" w:cs="仿宋_GB2312"/>
                <w:b/>
                <w:bCs/>
                <w:color w:val="auto"/>
                <w:kern w:val="0"/>
                <w:sz w:val="20"/>
                <w:szCs w:val="20"/>
              </w:rPr>
            </w:pPr>
          </w:p>
        </w:tc>
        <w:tc>
          <w:tcPr>
            <w:tcW w:w="932" w:type="dxa"/>
            <w:tcBorders>
              <w:top w:val="nil"/>
              <w:left w:val="nil"/>
              <w:bottom w:val="single" w:color="auto" w:sz="4" w:space="0"/>
              <w:right w:val="single" w:color="auto" w:sz="4" w:space="0"/>
            </w:tcBorders>
            <w:shd w:val="clear" w:color="auto" w:fill="auto"/>
            <w:vAlign w:val="center"/>
          </w:tcPr>
          <w:p w14:paraId="24F2C160">
            <w:pPr>
              <w:widowControl/>
              <w:spacing w:line="240" w:lineRule="exact"/>
              <w:jc w:val="center"/>
              <w:rPr>
                <w:rFonts w:hint="eastAsia" w:ascii="仿宋_GB2312" w:hAnsi="仿宋_GB2312" w:eastAsia="仿宋_GB2312" w:cs="仿宋_GB2312"/>
                <w:b/>
                <w:bCs/>
                <w:color w:val="auto"/>
                <w:kern w:val="0"/>
                <w:sz w:val="20"/>
                <w:szCs w:val="20"/>
              </w:rPr>
            </w:pPr>
          </w:p>
        </w:tc>
        <w:tc>
          <w:tcPr>
            <w:tcW w:w="946" w:type="dxa"/>
            <w:tcBorders>
              <w:top w:val="nil"/>
              <w:left w:val="nil"/>
              <w:bottom w:val="single" w:color="auto" w:sz="4" w:space="0"/>
              <w:right w:val="single" w:color="auto" w:sz="4" w:space="0"/>
            </w:tcBorders>
            <w:shd w:val="clear" w:color="auto" w:fill="auto"/>
            <w:vAlign w:val="center"/>
          </w:tcPr>
          <w:p w14:paraId="442B3CD3">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40F92210">
            <w:pPr>
              <w:widowControl/>
              <w:spacing w:line="240" w:lineRule="exact"/>
              <w:jc w:val="center"/>
              <w:rPr>
                <w:rFonts w:hint="eastAsia" w:ascii="仿宋_GB2312" w:hAnsi="仿宋_GB2312" w:eastAsia="仿宋_GB2312" w:cs="仿宋_GB2312"/>
                <w:b/>
                <w:bCs/>
                <w:color w:val="auto"/>
                <w:kern w:val="0"/>
                <w:sz w:val="20"/>
                <w:szCs w:val="20"/>
              </w:rPr>
            </w:pPr>
          </w:p>
        </w:tc>
        <w:tc>
          <w:tcPr>
            <w:tcW w:w="1043" w:type="dxa"/>
            <w:tcBorders>
              <w:top w:val="nil"/>
              <w:left w:val="nil"/>
              <w:bottom w:val="single" w:color="auto" w:sz="4" w:space="0"/>
              <w:right w:val="single" w:color="auto" w:sz="4" w:space="0"/>
            </w:tcBorders>
            <w:shd w:val="clear" w:color="auto" w:fill="auto"/>
            <w:vAlign w:val="center"/>
          </w:tcPr>
          <w:p w14:paraId="7E2A8190">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5720</w:t>
            </w:r>
          </w:p>
        </w:tc>
        <w:tc>
          <w:tcPr>
            <w:tcW w:w="1196" w:type="dxa"/>
            <w:tcBorders>
              <w:top w:val="nil"/>
              <w:left w:val="nil"/>
              <w:bottom w:val="single" w:color="auto" w:sz="4" w:space="0"/>
              <w:right w:val="single" w:color="auto" w:sz="4" w:space="0"/>
            </w:tcBorders>
            <w:shd w:val="clear" w:color="auto" w:fill="auto"/>
            <w:vAlign w:val="center"/>
          </w:tcPr>
          <w:p w14:paraId="1237F069">
            <w:pPr>
              <w:widowControl/>
              <w:spacing w:line="240" w:lineRule="exact"/>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5720</w:t>
            </w:r>
          </w:p>
        </w:tc>
        <w:tc>
          <w:tcPr>
            <w:tcW w:w="658" w:type="dxa"/>
            <w:tcBorders>
              <w:top w:val="nil"/>
              <w:left w:val="nil"/>
              <w:bottom w:val="single" w:color="auto" w:sz="4" w:space="0"/>
              <w:right w:val="single" w:color="auto" w:sz="4" w:space="0"/>
            </w:tcBorders>
            <w:shd w:val="clear" w:color="auto" w:fill="auto"/>
            <w:vAlign w:val="center"/>
          </w:tcPr>
          <w:p w14:paraId="197A7079">
            <w:pPr>
              <w:widowControl/>
              <w:spacing w:line="240" w:lineRule="exact"/>
              <w:jc w:val="center"/>
              <w:rPr>
                <w:rFonts w:hint="eastAsia" w:ascii="仿宋_GB2312" w:hAnsi="仿宋_GB2312" w:eastAsia="仿宋_GB2312" w:cs="仿宋_GB2312"/>
                <w:b/>
                <w:bCs/>
                <w:color w:val="auto"/>
                <w:kern w:val="0"/>
                <w:sz w:val="20"/>
                <w:szCs w:val="20"/>
              </w:rPr>
            </w:pPr>
          </w:p>
        </w:tc>
      </w:tr>
      <w:tr w14:paraId="047EF9F1">
        <w:tblPrEx>
          <w:tblCellMar>
            <w:top w:w="0" w:type="dxa"/>
            <w:left w:w="51" w:type="dxa"/>
            <w:bottom w:w="0" w:type="dxa"/>
            <w:right w:w="51" w:type="dxa"/>
          </w:tblCellMar>
        </w:tblPrEx>
        <w:trPr>
          <w:trHeight w:val="1345" w:hRule="atLeast"/>
        </w:trPr>
        <w:tc>
          <w:tcPr>
            <w:tcW w:w="885" w:type="dxa"/>
            <w:tcBorders>
              <w:top w:val="nil"/>
              <w:left w:val="single" w:color="auto" w:sz="4" w:space="0"/>
              <w:bottom w:val="single" w:color="auto" w:sz="4" w:space="0"/>
              <w:right w:val="single" w:color="auto" w:sz="4" w:space="0"/>
            </w:tcBorders>
            <w:shd w:val="clear" w:color="auto" w:fill="auto"/>
            <w:vAlign w:val="center"/>
          </w:tcPr>
          <w:p w14:paraId="61FB6FD4">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3-3-1</w:t>
            </w:r>
          </w:p>
        </w:tc>
        <w:tc>
          <w:tcPr>
            <w:tcW w:w="2069" w:type="dxa"/>
            <w:tcBorders>
              <w:top w:val="nil"/>
              <w:left w:val="nil"/>
              <w:bottom w:val="single" w:color="auto" w:sz="4" w:space="0"/>
              <w:right w:val="single" w:color="auto" w:sz="4" w:space="0"/>
            </w:tcBorders>
            <w:shd w:val="clear" w:color="auto" w:fill="auto"/>
            <w:vAlign w:val="center"/>
          </w:tcPr>
          <w:p w14:paraId="179251F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昌都市八宿县水系连通及水美乡村建设试点县项目</w:t>
            </w:r>
          </w:p>
        </w:tc>
        <w:tc>
          <w:tcPr>
            <w:tcW w:w="932" w:type="dxa"/>
            <w:tcBorders>
              <w:top w:val="nil"/>
              <w:left w:val="nil"/>
              <w:bottom w:val="single" w:color="auto" w:sz="4" w:space="0"/>
              <w:right w:val="single" w:color="auto" w:sz="4" w:space="0"/>
            </w:tcBorders>
            <w:shd w:val="clear" w:color="auto" w:fill="auto"/>
            <w:vAlign w:val="center"/>
          </w:tcPr>
          <w:p w14:paraId="05EA65E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八宿县</w:t>
            </w:r>
          </w:p>
        </w:tc>
        <w:tc>
          <w:tcPr>
            <w:tcW w:w="732" w:type="dxa"/>
            <w:tcBorders>
              <w:top w:val="nil"/>
              <w:left w:val="nil"/>
              <w:bottom w:val="single" w:color="auto" w:sz="4" w:space="0"/>
              <w:right w:val="single" w:color="auto" w:sz="4" w:space="0"/>
            </w:tcBorders>
            <w:shd w:val="clear" w:color="auto" w:fill="auto"/>
            <w:vAlign w:val="center"/>
          </w:tcPr>
          <w:p w14:paraId="4D8AED80">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新建</w:t>
            </w:r>
          </w:p>
        </w:tc>
        <w:tc>
          <w:tcPr>
            <w:tcW w:w="1135" w:type="dxa"/>
            <w:tcBorders>
              <w:top w:val="nil"/>
              <w:left w:val="nil"/>
              <w:bottom w:val="single" w:color="auto" w:sz="4" w:space="0"/>
              <w:right w:val="single" w:color="auto" w:sz="4" w:space="0"/>
            </w:tcBorders>
            <w:shd w:val="clear" w:color="auto" w:fill="auto"/>
            <w:vAlign w:val="center"/>
          </w:tcPr>
          <w:p w14:paraId="522E2003">
            <w:pPr>
              <w:widowControl/>
              <w:spacing w:line="240" w:lineRule="exact"/>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rPr>
              <w:t>已批概</w:t>
            </w:r>
          </w:p>
        </w:tc>
        <w:tc>
          <w:tcPr>
            <w:tcW w:w="3116" w:type="dxa"/>
            <w:tcBorders>
              <w:top w:val="nil"/>
              <w:left w:val="nil"/>
              <w:bottom w:val="single" w:color="auto" w:sz="4" w:space="0"/>
              <w:right w:val="single" w:color="auto" w:sz="4" w:space="0"/>
            </w:tcBorders>
            <w:shd w:val="clear" w:color="auto" w:fill="auto"/>
            <w:vAlign w:val="center"/>
          </w:tcPr>
          <w:p w14:paraId="5D29622F">
            <w:pPr>
              <w:widowControl/>
              <w:spacing w:line="240" w:lineRule="exact"/>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以乡村为单元，以乡村的河塘沟渠为重点，开展农村水系综合整治，实施护岸、疏浚、河塘整治等工程措施，通过加强管护，巩固整治成果，实现河畅水清景美的效果</w:t>
            </w:r>
          </w:p>
        </w:tc>
        <w:tc>
          <w:tcPr>
            <w:tcW w:w="932" w:type="dxa"/>
            <w:tcBorders>
              <w:top w:val="nil"/>
              <w:left w:val="nil"/>
              <w:bottom w:val="single" w:color="auto" w:sz="4" w:space="0"/>
              <w:right w:val="single" w:color="auto" w:sz="4" w:space="0"/>
            </w:tcBorders>
            <w:shd w:val="clear" w:color="auto" w:fill="auto"/>
            <w:vAlign w:val="center"/>
          </w:tcPr>
          <w:p w14:paraId="54722668">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2023</w:t>
            </w:r>
          </w:p>
        </w:tc>
        <w:tc>
          <w:tcPr>
            <w:tcW w:w="946" w:type="dxa"/>
            <w:tcBorders>
              <w:top w:val="nil"/>
              <w:left w:val="nil"/>
              <w:bottom w:val="single" w:color="auto" w:sz="4" w:space="0"/>
              <w:right w:val="single" w:color="auto" w:sz="4" w:space="0"/>
            </w:tcBorders>
            <w:shd w:val="clear" w:color="auto" w:fill="auto"/>
            <w:vAlign w:val="center"/>
          </w:tcPr>
          <w:p w14:paraId="33B27289">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2025</w:t>
            </w:r>
          </w:p>
        </w:tc>
        <w:tc>
          <w:tcPr>
            <w:tcW w:w="1043" w:type="dxa"/>
            <w:tcBorders>
              <w:top w:val="nil"/>
              <w:left w:val="nil"/>
              <w:bottom w:val="single" w:color="auto" w:sz="4" w:space="0"/>
              <w:right w:val="single" w:color="auto" w:sz="4" w:space="0"/>
            </w:tcBorders>
            <w:shd w:val="clear" w:color="auto" w:fill="auto"/>
            <w:vAlign w:val="center"/>
          </w:tcPr>
          <w:p w14:paraId="2744A10F">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中央财政资金</w:t>
            </w:r>
          </w:p>
        </w:tc>
        <w:tc>
          <w:tcPr>
            <w:tcW w:w="1043" w:type="dxa"/>
            <w:tcBorders>
              <w:top w:val="nil"/>
              <w:left w:val="nil"/>
              <w:bottom w:val="single" w:color="auto" w:sz="4" w:space="0"/>
              <w:right w:val="single" w:color="auto" w:sz="4" w:space="0"/>
            </w:tcBorders>
            <w:shd w:val="clear" w:color="auto" w:fill="auto"/>
            <w:vAlign w:val="center"/>
          </w:tcPr>
          <w:p w14:paraId="78B63373">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5720</w:t>
            </w:r>
          </w:p>
        </w:tc>
        <w:tc>
          <w:tcPr>
            <w:tcW w:w="1196" w:type="dxa"/>
            <w:tcBorders>
              <w:top w:val="nil"/>
              <w:left w:val="nil"/>
              <w:bottom w:val="single" w:color="auto" w:sz="4" w:space="0"/>
              <w:right w:val="single" w:color="auto" w:sz="4" w:space="0"/>
            </w:tcBorders>
            <w:shd w:val="clear" w:color="auto" w:fill="auto"/>
            <w:vAlign w:val="center"/>
          </w:tcPr>
          <w:p w14:paraId="4369109E">
            <w:pPr>
              <w:widowControl/>
              <w:spacing w:line="24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5720</w:t>
            </w:r>
          </w:p>
        </w:tc>
        <w:tc>
          <w:tcPr>
            <w:tcW w:w="658" w:type="dxa"/>
            <w:tcBorders>
              <w:top w:val="nil"/>
              <w:left w:val="nil"/>
              <w:bottom w:val="single" w:color="auto" w:sz="4" w:space="0"/>
              <w:right w:val="single" w:color="auto" w:sz="4" w:space="0"/>
            </w:tcBorders>
            <w:shd w:val="clear" w:color="auto" w:fill="auto"/>
            <w:vAlign w:val="center"/>
          </w:tcPr>
          <w:p w14:paraId="195C0024">
            <w:pPr>
              <w:widowControl/>
              <w:spacing w:line="240" w:lineRule="exact"/>
              <w:jc w:val="center"/>
              <w:rPr>
                <w:rFonts w:hint="eastAsia" w:ascii="仿宋_GB2312" w:hAnsi="仿宋_GB2312" w:eastAsia="仿宋_GB2312" w:cs="仿宋_GB2312"/>
                <w:color w:val="auto"/>
                <w:kern w:val="0"/>
                <w:sz w:val="20"/>
                <w:szCs w:val="20"/>
              </w:rPr>
            </w:pPr>
          </w:p>
        </w:tc>
      </w:tr>
    </w:tbl>
    <w:p w14:paraId="7C4E8C76">
      <w:pPr>
        <w:pStyle w:val="27"/>
        <w:ind w:firstLine="0" w:firstLineChars="0"/>
        <w:rPr>
          <w:rFonts w:cs="Times New Roman"/>
        </w:rPr>
      </w:pPr>
    </w:p>
    <w:sectPr>
      <w:pgSz w:w="16838" w:h="11906" w:orient="landscape"/>
      <w:pgMar w:top="2098" w:right="1474"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E0C1A">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9BE2A">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1</w:t>
                          </w:r>
                          <w:r>
                            <w:rPr>
                              <w:rFonts w:hint="eastAsia" w:ascii="仿宋_GB2312" w:hAnsi="仿宋_GB2312" w:eastAsia="仿宋_GB2312" w:cs="仿宋_GB2312"/>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5F9BE2A">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1</w:t>
                    </w:r>
                    <w:r>
                      <w:rPr>
                        <w:rFonts w:hint="eastAsia" w:ascii="仿宋_GB2312" w:hAnsi="仿宋_GB2312" w:eastAsia="仿宋_GB2312" w:cs="仿宋_GB2312"/>
                        <w:sz w:val="18"/>
                        <w:lang w:eastAsia="zh-CN"/>
                      </w:rPr>
                      <w:fldChar w:fldCharType="end"/>
                    </w:r>
                  </w:p>
                </w:txbxContent>
              </v:textbox>
            </v:shape>
          </w:pict>
        </mc:Fallback>
      </mc:AlternateContent>
    </w:r>
  </w:p>
  <w:p w14:paraId="100BA9D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3ED31">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C8BD9">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2</w:t>
                          </w:r>
                          <w:r>
                            <w:rPr>
                              <w:rFonts w:hint="eastAsia" w:ascii="仿宋_GB2312" w:hAnsi="仿宋_GB2312" w:eastAsia="仿宋_GB2312" w:cs="仿宋_GB2312"/>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CC8BD9">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2</w:t>
                    </w:r>
                    <w:r>
                      <w:rPr>
                        <w:rFonts w:hint="eastAsia" w:ascii="仿宋_GB2312" w:hAnsi="仿宋_GB2312" w:eastAsia="仿宋_GB2312" w:cs="仿宋_GB2312"/>
                        <w:sz w:val="18"/>
                        <w:lang w:eastAsia="zh-CN"/>
                      </w:rPr>
                      <w:fldChar w:fldCharType="end"/>
                    </w:r>
                  </w:p>
                </w:txbxContent>
              </v:textbox>
            </v:shape>
          </w:pict>
        </mc:Fallback>
      </mc:AlternateContent>
    </w:r>
  </w:p>
  <w:p w14:paraId="68D7CBFA">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0EA3A">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46E5C">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1</w:t>
                          </w:r>
                          <w:r>
                            <w:rPr>
                              <w:rFonts w:hint="eastAsia" w:ascii="仿宋_GB2312" w:hAnsi="仿宋_GB2312" w:eastAsia="仿宋_GB2312" w:cs="仿宋_GB2312"/>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A46E5C">
                    <w:pPr>
                      <w:snapToGrid w:val="0"/>
                      <w:rPr>
                        <w:rFonts w:hint="eastAsia" w:ascii="仿宋_GB2312" w:hAnsi="仿宋_GB2312" w:eastAsia="仿宋_GB2312" w:cs="仿宋_GB2312"/>
                        <w:sz w:val="18"/>
                        <w:lang w:eastAsia="zh-CN"/>
                      </w:rPr>
                    </w:pPr>
                    <w:r>
                      <w:rPr>
                        <w:rFonts w:hint="eastAsia" w:ascii="仿宋_GB2312" w:hAnsi="仿宋_GB2312" w:eastAsia="仿宋_GB2312" w:cs="仿宋_GB2312"/>
                        <w:sz w:val="18"/>
                        <w:lang w:eastAsia="zh-CN"/>
                      </w:rPr>
                      <w:fldChar w:fldCharType="begin"/>
                    </w:r>
                    <w:r>
                      <w:rPr>
                        <w:rFonts w:hint="eastAsia" w:ascii="仿宋_GB2312" w:hAnsi="仿宋_GB2312" w:eastAsia="仿宋_GB2312" w:cs="仿宋_GB2312"/>
                        <w:sz w:val="18"/>
                        <w:lang w:eastAsia="zh-CN"/>
                      </w:rPr>
                      <w:instrText xml:space="preserve"> PAGE  \* MERGEFORMAT </w:instrText>
                    </w:r>
                    <w:r>
                      <w:rPr>
                        <w:rFonts w:hint="eastAsia" w:ascii="仿宋_GB2312" w:hAnsi="仿宋_GB2312" w:eastAsia="仿宋_GB2312" w:cs="仿宋_GB2312"/>
                        <w:sz w:val="18"/>
                        <w:lang w:eastAsia="zh-CN"/>
                      </w:rPr>
                      <w:fldChar w:fldCharType="separate"/>
                    </w:r>
                    <w:r>
                      <w:rPr>
                        <w:rFonts w:hint="eastAsia" w:ascii="仿宋_GB2312" w:hAnsi="仿宋_GB2312" w:eastAsia="仿宋_GB2312" w:cs="仿宋_GB2312"/>
                        <w:sz w:val="18"/>
                      </w:rPr>
                      <w:t>1</w:t>
                    </w:r>
                    <w:r>
                      <w:rPr>
                        <w:rFonts w:hint="eastAsia" w:ascii="仿宋_GB2312" w:hAnsi="仿宋_GB2312" w:eastAsia="仿宋_GB2312" w:cs="仿宋_GB2312"/>
                        <w:sz w:val="1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42F8A">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6B8594">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sz w:val="18"/>
                            </w:rPr>
                            <w:t>1</w:t>
                          </w:r>
                          <w:r>
                            <w:rPr>
                              <w:rFonts w:hint="eastAsia" w:eastAsia="宋体"/>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26B8594">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sz w:val="18"/>
                      </w:rPr>
                      <w:t>1</w:t>
                    </w:r>
                    <w:r>
                      <w:rPr>
                        <w:rFonts w:hint="eastAsia" w:eastAsia="宋体"/>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604D6">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82126">
                          <w:pPr>
                            <w:rPr>
                              <w:rFonts w:hint="eastAsia" w:eastAsia="宋体"/>
                              <w:lang w:eastAsia="zh-CN"/>
                            </w:rPr>
                          </w:pPr>
                          <w:r>
                            <w:rPr>
                              <w:rFonts w:hint="eastAsia" w:ascii="仿宋_GB2312" w:hAnsi="仿宋_GB2312" w:eastAsia="仿宋_GB2312" w:cs="仿宋_GB2312"/>
                              <w:sz w:val="18"/>
                              <w:szCs w:val="18"/>
                              <w:lang w:eastAsia="zh-CN"/>
                            </w:rPr>
                            <w:fldChar w:fldCharType="begin"/>
                          </w:r>
                          <w:r>
                            <w:rPr>
                              <w:rFonts w:hint="eastAsia" w:ascii="仿宋_GB2312" w:hAnsi="仿宋_GB2312" w:eastAsia="仿宋_GB2312" w:cs="仿宋_GB2312"/>
                              <w:sz w:val="18"/>
                              <w:szCs w:val="18"/>
                              <w:lang w:eastAsia="zh-CN"/>
                            </w:rPr>
                            <w:instrText xml:space="preserve"> PAGE  \* MERGEFORMAT </w:instrText>
                          </w:r>
                          <w:r>
                            <w:rPr>
                              <w:rFonts w:hint="eastAsia" w:ascii="仿宋_GB2312" w:hAnsi="仿宋_GB2312" w:eastAsia="仿宋_GB2312" w:cs="仿宋_GB2312"/>
                              <w:sz w:val="18"/>
                              <w:szCs w:val="18"/>
                              <w:lang w:eastAsia="zh-CN"/>
                            </w:rPr>
                            <w:fldChar w:fldCharType="separate"/>
                          </w:r>
                          <w:r>
                            <w:rPr>
                              <w:rFonts w:hint="eastAsia" w:ascii="仿宋_GB2312" w:hAnsi="仿宋_GB2312" w:eastAsia="仿宋_GB2312" w:cs="仿宋_GB2312"/>
                              <w:sz w:val="18"/>
                              <w:szCs w:val="18"/>
                            </w:rPr>
                            <w:t>1</w:t>
                          </w:r>
                          <w:r>
                            <w:rPr>
                              <w:rFonts w:hint="eastAsia" w:ascii="仿宋_GB2312" w:hAnsi="仿宋_GB2312" w:eastAsia="仿宋_GB2312" w:cs="仿宋_GB2312"/>
                              <w:sz w:val="18"/>
                              <w:szCs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582126">
                    <w:pPr>
                      <w:rPr>
                        <w:rFonts w:hint="eastAsia" w:eastAsia="宋体"/>
                        <w:lang w:eastAsia="zh-CN"/>
                      </w:rPr>
                    </w:pPr>
                    <w:r>
                      <w:rPr>
                        <w:rFonts w:hint="eastAsia" w:ascii="仿宋_GB2312" w:hAnsi="仿宋_GB2312" w:eastAsia="仿宋_GB2312" w:cs="仿宋_GB2312"/>
                        <w:sz w:val="18"/>
                        <w:szCs w:val="18"/>
                        <w:lang w:eastAsia="zh-CN"/>
                      </w:rPr>
                      <w:fldChar w:fldCharType="begin"/>
                    </w:r>
                    <w:r>
                      <w:rPr>
                        <w:rFonts w:hint="eastAsia" w:ascii="仿宋_GB2312" w:hAnsi="仿宋_GB2312" w:eastAsia="仿宋_GB2312" w:cs="仿宋_GB2312"/>
                        <w:sz w:val="18"/>
                        <w:szCs w:val="18"/>
                        <w:lang w:eastAsia="zh-CN"/>
                      </w:rPr>
                      <w:instrText xml:space="preserve"> PAGE  \* MERGEFORMAT </w:instrText>
                    </w:r>
                    <w:r>
                      <w:rPr>
                        <w:rFonts w:hint="eastAsia" w:ascii="仿宋_GB2312" w:hAnsi="仿宋_GB2312" w:eastAsia="仿宋_GB2312" w:cs="仿宋_GB2312"/>
                        <w:sz w:val="18"/>
                        <w:szCs w:val="18"/>
                        <w:lang w:eastAsia="zh-CN"/>
                      </w:rPr>
                      <w:fldChar w:fldCharType="separate"/>
                    </w:r>
                    <w:r>
                      <w:rPr>
                        <w:rFonts w:hint="eastAsia" w:ascii="仿宋_GB2312" w:hAnsi="仿宋_GB2312" w:eastAsia="仿宋_GB2312" w:cs="仿宋_GB2312"/>
                        <w:sz w:val="18"/>
                        <w:szCs w:val="18"/>
                      </w:rPr>
                      <w:t>1</w:t>
                    </w:r>
                    <w:r>
                      <w:rPr>
                        <w:rFonts w:hint="eastAsia" w:ascii="仿宋_GB2312" w:hAnsi="仿宋_GB2312" w:eastAsia="仿宋_GB2312" w:cs="仿宋_GB2312"/>
                        <w:sz w:val="18"/>
                        <w:szCs w:val="18"/>
                        <w:lang w:eastAsia="zh-CN"/>
                      </w:rPr>
                      <w:fldChar w:fldCharType="end"/>
                    </w:r>
                  </w:p>
                </w:txbxContent>
              </v:textbox>
            </v:shape>
          </w:pict>
        </mc:Fallback>
      </mc:AlternateContent>
    </w:r>
  </w:p>
  <w:p w14:paraId="7DBEB3B4">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wYmM2NDc0MWM0NmNlMDQ4OTczODg2ODNiMjFiNWYifQ=="/>
  </w:docVars>
  <w:rsids>
    <w:rsidRoot w:val="00AC53D2"/>
    <w:rsid w:val="000020D5"/>
    <w:rsid w:val="000064F8"/>
    <w:rsid w:val="00036849"/>
    <w:rsid w:val="00043ED2"/>
    <w:rsid w:val="0005063A"/>
    <w:rsid w:val="00063624"/>
    <w:rsid w:val="00065216"/>
    <w:rsid w:val="000718FE"/>
    <w:rsid w:val="00080A3D"/>
    <w:rsid w:val="000825BA"/>
    <w:rsid w:val="000902EB"/>
    <w:rsid w:val="00094E0A"/>
    <w:rsid w:val="000A17CB"/>
    <w:rsid w:val="000C455E"/>
    <w:rsid w:val="000C5D34"/>
    <w:rsid w:val="000D128F"/>
    <w:rsid w:val="000D5492"/>
    <w:rsid w:val="000D5EC1"/>
    <w:rsid w:val="000E2059"/>
    <w:rsid w:val="000E319E"/>
    <w:rsid w:val="000F3805"/>
    <w:rsid w:val="00107B3D"/>
    <w:rsid w:val="00120D6E"/>
    <w:rsid w:val="00122766"/>
    <w:rsid w:val="00122AEE"/>
    <w:rsid w:val="00123827"/>
    <w:rsid w:val="00125C9B"/>
    <w:rsid w:val="00126435"/>
    <w:rsid w:val="001312FA"/>
    <w:rsid w:val="001366A4"/>
    <w:rsid w:val="0014185E"/>
    <w:rsid w:val="00143BEC"/>
    <w:rsid w:val="00143FF3"/>
    <w:rsid w:val="001A7422"/>
    <w:rsid w:val="001B27E0"/>
    <w:rsid w:val="001D500B"/>
    <w:rsid w:val="001E3A2C"/>
    <w:rsid w:val="001F04F4"/>
    <w:rsid w:val="001F0532"/>
    <w:rsid w:val="001F2D23"/>
    <w:rsid w:val="001F4DA0"/>
    <w:rsid w:val="001F67FD"/>
    <w:rsid w:val="002009B1"/>
    <w:rsid w:val="00204833"/>
    <w:rsid w:val="00205BB8"/>
    <w:rsid w:val="00224FFD"/>
    <w:rsid w:val="00240242"/>
    <w:rsid w:val="00246A02"/>
    <w:rsid w:val="0026548E"/>
    <w:rsid w:val="00270A30"/>
    <w:rsid w:val="00276B61"/>
    <w:rsid w:val="00283946"/>
    <w:rsid w:val="002867EC"/>
    <w:rsid w:val="002C2DAB"/>
    <w:rsid w:val="002C67C0"/>
    <w:rsid w:val="002E0BC8"/>
    <w:rsid w:val="002F120F"/>
    <w:rsid w:val="00302020"/>
    <w:rsid w:val="00312DEE"/>
    <w:rsid w:val="0032176D"/>
    <w:rsid w:val="00325DC7"/>
    <w:rsid w:val="003436BA"/>
    <w:rsid w:val="00356749"/>
    <w:rsid w:val="00361117"/>
    <w:rsid w:val="003611E6"/>
    <w:rsid w:val="00371FB8"/>
    <w:rsid w:val="00375B05"/>
    <w:rsid w:val="00376BE2"/>
    <w:rsid w:val="00385468"/>
    <w:rsid w:val="00386CC3"/>
    <w:rsid w:val="00387081"/>
    <w:rsid w:val="00396174"/>
    <w:rsid w:val="003A13A9"/>
    <w:rsid w:val="003A4C04"/>
    <w:rsid w:val="003B0845"/>
    <w:rsid w:val="003B4A19"/>
    <w:rsid w:val="003B729C"/>
    <w:rsid w:val="003B781B"/>
    <w:rsid w:val="003C4981"/>
    <w:rsid w:val="003C4A14"/>
    <w:rsid w:val="003C56EE"/>
    <w:rsid w:val="003D031C"/>
    <w:rsid w:val="003D6646"/>
    <w:rsid w:val="003E0EBC"/>
    <w:rsid w:val="00414415"/>
    <w:rsid w:val="00416CA6"/>
    <w:rsid w:val="00417C72"/>
    <w:rsid w:val="004275FB"/>
    <w:rsid w:val="0043698D"/>
    <w:rsid w:val="004375F1"/>
    <w:rsid w:val="00446A3D"/>
    <w:rsid w:val="0045230A"/>
    <w:rsid w:val="004602F3"/>
    <w:rsid w:val="00461DD7"/>
    <w:rsid w:val="00462129"/>
    <w:rsid w:val="00462B5D"/>
    <w:rsid w:val="00464ACB"/>
    <w:rsid w:val="0046653A"/>
    <w:rsid w:val="00466603"/>
    <w:rsid w:val="004A6F3F"/>
    <w:rsid w:val="004D0154"/>
    <w:rsid w:val="004D616F"/>
    <w:rsid w:val="004E458D"/>
    <w:rsid w:val="004E4E1B"/>
    <w:rsid w:val="004F490E"/>
    <w:rsid w:val="004F76CD"/>
    <w:rsid w:val="00515849"/>
    <w:rsid w:val="00531848"/>
    <w:rsid w:val="00543150"/>
    <w:rsid w:val="00551497"/>
    <w:rsid w:val="00551DBB"/>
    <w:rsid w:val="0055341D"/>
    <w:rsid w:val="00562001"/>
    <w:rsid w:val="005736A9"/>
    <w:rsid w:val="0058691B"/>
    <w:rsid w:val="00592025"/>
    <w:rsid w:val="005C50CA"/>
    <w:rsid w:val="005C5DC5"/>
    <w:rsid w:val="005D1908"/>
    <w:rsid w:val="005D2AFD"/>
    <w:rsid w:val="005E0E81"/>
    <w:rsid w:val="005E6CA9"/>
    <w:rsid w:val="005F5DE6"/>
    <w:rsid w:val="00604049"/>
    <w:rsid w:val="00613CE9"/>
    <w:rsid w:val="00617119"/>
    <w:rsid w:val="00630E2F"/>
    <w:rsid w:val="0064043F"/>
    <w:rsid w:val="00650DFF"/>
    <w:rsid w:val="00676935"/>
    <w:rsid w:val="006A1DCC"/>
    <w:rsid w:val="006B3956"/>
    <w:rsid w:val="006C3040"/>
    <w:rsid w:val="006E289F"/>
    <w:rsid w:val="006E35E2"/>
    <w:rsid w:val="00700B0D"/>
    <w:rsid w:val="00702F61"/>
    <w:rsid w:val="00711C87"/>
    <w:rsid w:val="00730F26"/>
    <w:rsid w:val="00745702"/>
    <w:rsid w:val="00745C7D"/>
    <w:rsid w:val="007561FD"/>
    <w:rsid w:val="007566A2"/>
    <w:rsid w:val="007647BD"/>
    <w:rsid w:val="00764CF1"/>
    <w:rsid w:val="0076692C"/>
    <w:rsid w:val="007838C0"/>
    <w:rsid w:val="007964FD"/>
    <w:rsid w:val="007B42CB"/>
    <w:rsid w:val="007C17D9"/>
    <w:rsid w:val="007C51F0"/>
    <w:rsid w:val="007C778D"/>
    <w:rsid w:val="007D557B"/>
    <w:rsid w:val="007E046B"/>
    <w:rsid w:val="007E31DA"/>
    <w:rsid w:val="007F2182"/>
    <w:rsid w:val="00806914"/>
    <w:rsid w:val="0081097A"/>
    <w:rsid w:val="00816284"/>
    <w:rsid w:val="00846B9C"/>
    <w:rsid w:val="00846D37"/>
    <w:rsid w:val="008525FC"/>
    <w:rsid w:val="00854C08"/>
    <w:rsid w:val="00862509"/>
    <w:rsid w:val="0086691D"/>
    <w:rsid w:val="008945D2"/>
    <w:rsid w:val="008A3FBD"/>
    <w:rsid w:val="008A79E3"/>
    <w:rsid w:val="008B06C6"/>
    <w:rsid w:val="008B6ADF"/>
    <w:rsid w:val="008B71AE"/>
    <w:rsid w:val="008B78C6"/>
    <w:rsid w:val="008C5B45"/>
    <w:rsid w:val="008E3E46"/>
    <w:rsid w:val="008F1326"/>
    <w:rsid w:val="0090646A"/>
    <w:rsid w:val="0090744A"/>
    <w:rsid w:val="00913227"/>
    <w:rsid w:val="009166C0"/>
    <w:rsid w:val="00934864"/>
    <w:rsid w:val="00943CE4"/>
    <w:rsid w:val="00947F84"/>
    <w:rsid w:val="00947F8B"/>
    <w:rsid w:val="00952B34"/>
    <w:rsid w:val="009532FB"/>
    <w:rsid w:val="00960CE4"/>
    <w:rsid w:val="00985D00"/>
    <w:rsid w:val="00993BE7"/>
    <w:rsid w:val="009A7062"/>
    <w:rsid w:val="009B1117"/>
    <w:rsid w:val="009B70C1"/>
    <w:rsid w:val="009C4C10"/>
    <w:rsid w:val="009C6CF3"/>
    <w:rsid w:val="00A02EC1"/>
    <w:rsid w:val="00A30AE3"/>
    <w:rsid w:val="00A33610"/>
    <w:rsid w:val="00A45DAA"/>
    <w:rsid w:val="00A547E2"/>
    <w:rsid w:val="00A8354A"/>
    <w:rsid w:val="00AB08C3"/>
    <w:rsid w:val="00AB18B3"/>
    <w:rsid w:val="00AC0869"/>
    <w:rsid w:val="00AC122B"/>
    <w:rsid w:val="00AC22AF"/>
    <w:rsid w:val="00AC4A50"/>
    <w:rsid w:val="00AC53D2"/>
    <w:rsid w:val="00AD393C"/>
    <w:rsid w:val="00AD4FA0"/>
    <w:rsid w:val="00AD6159"/>
    <w:rsid w:val="00AE1903"/>
    <w:rsid w:val="00AE44CE"/>
    <w:rsid w:val="00AE7B17"/>
    <w:rsid w:val="00AF1F89"/>
    <w:rsid w:val="00B01B14"/>
    <w:rsid w:val="00B072B2"/>
    <w:rsid w:val="00B076F6"/>
    <w:rsid w:val="00B11652"/>
    <w:rsid w:val="00B1207E"/>
    <w:rsid w:val="00B162E3"/>
    <w:rsid w:val="00B367A3"/>
    <w:rsid w:val="00B3688E"/>
    <w:rsid w:val="00B379B8"/>
    <w:rsid w:val="00B40443"/>
    <w:rsid w:val="00B40751"/>
    <w:rsid w:val="00B5103F"/>
    <w:rsid w:val="00B56526"/>
    <w:rsid w:val="00B81138"/>
    <w:rsid w:val="00B8727C"/>
    <w:rsid w:val="00B9426B"/>
    <w:rsid w:val="00BA0CA8"/>
    <w:rsid w:val="00BA2821"/>
    <w:rsid w:val="00BA685D"/>
    <w:rsid w:val="00BB1177"/>
    <w:rsid w:val="00BD6B26"/>
    <w:rsid w:val="00BE7177"/>
    <w:rsid w:val="00BF07E2"/>
    <w:rsid w:val="00BF0A05"/>
    <w:rsid w:val="00BF220B"/>
    <w:rsid w:val="00BF2DE0"/>
    <w:rsid w:val="00C1399C"/>
    <w:rsid w:val="00C13FC6"/>
    <w:rsid w:val="00C50786"/>
    <w:rsid w:val="00C74265"/>
    <w:rsid w:val="00C90BB3"/>
    <w:rsid w:val="00CA330A"/>
    <w:rsid w:val="00CB0705"/>
    <w:rsid w:val="00CB3ADC"/>
    <w:rsid w:val="00CB4889"/>
    <w:rsid w:val="00CC724A"/>
    <w:rsid w:val="00CD26D6"/>
    <w:rsid w:val="00CD2A54"/>
    <w:rsid w:val="00CD6F48"/>
    <w:rsid w:val="00CE1297"/>
    <w:rsid w:val="00D03785"/>
    <w:rsid w:val="00D04230"/>
    <w:rsid w:val="00D10388"/>
    <w:rsid w:val="00D14BE9"/>
    <w:rsid w:val="00D20F3B"/>
    <w:rsid w:val="00D4726B"/>
    <w:rsid w:val="00D52FB8"/>
    <w:rsid w:val="00D53303"/>
    <w:rsid w:val="00D60B2D"/>
    <w:rsid w:val="00D7356C"/>
    <w:rsid w:val="00D81506"/>
    <w:rsid w:val="00D8439E"/>
    <w:rsid w:val="00D84461"/>
    <w:rsid w:val="00D86055"/>
    <w:rsid w:val="00DA2556"/>
    <w:rsid w:val="00DA3C9E"/>
    <w:rsid w:val="00DA5270"/>
    <w:rsid w:val="00DC1783"/>
    <w:rsid w:val="00DD0DB4"/>
    <w:rsid w:val="00DD7BB3"/>
    <w:rsid w:val="00E006C8"/>
    <w:rsid w:val="00E13F47"/>
    <w:rsid w:val="00E163C5"/>
    <w:rsid w:val="00E16860"/>
    <w:rsid w:val="00E20867"/>
    <w:rsid w:val="00E22196"/>
    <w:rsid w:val="00E25E10"/>
    <w:rsid w:val="00E53A58"/>
    <w:rsid w:val="00E636AD"/>
    <w:rsid w:val="00E63865"/>
    <w:rsid w:val="00E71AA3"/>
    <w:rsid w:val="00E73FF8"/>
    <w:rsid w:val="00E76537"/>
    <w:rsid w:val="00E76DB0"/>
    <w:rsid w:val="00E82296"/>
    <w:rsid w:val="00E92C41"/>
    <w:rsid w:val="00E9757E"/>
    <w:rsid w:val="00EA0648"/>
    <w:rsid w:val="00EA4C24"/>
    <w:rsid w:val="00EA5B21"/>
    <w:rsid w:val="00EC134E"/>
    <w:rsid w:val="00EC3676"/>
    <w:rsid w:val="00EC78C3"/>
    <w:rsid w:val="00ED1193"/>
    <w:rsid w:val="00ED42FD"/>
    <w:rsid w:val="00EE1277"/>
    <w:rsid w:val="00F015B5"/>
    <w:rsid w:val="00F04921"/>
    <w:rsid w:val="00F10899"/>
    <w:rsid w:val="00F43932"/>
    <w:rsid w:val="00F501B1"/>
    <w:rsid w:val="00F54A4B"/>
    <w:rsid w:val="00F6100D"/>
    <w:rsid w:val="00F63393"/>
    <w:rsid w:val="00F7119F"/>
    <w:rsid w:val="00F72FAB"/>
    <w:rsid w:val="00F85FB6"/>
    <w:rsid w:val="00F87880"/>
    <w:rsid w:val="00F90311"/>
    <w:rsid w:val="00FD42A6"/>
    <w:rsid w:val="00FF014B"/>
    <w:rsid w:val="01C36697"/>
    <w:rsid w:val="02681224"/>
    <w:rsid w:val="02EEA91E"/>
    <w:rsid w:val="02F6774A"/>
    <w:rsid w:val="03C816C2"/>
    <w:rsid w:val="043270F9"/>
    <w:rsid w:val="050D0A83"/>
    <w:rsid w:val="05513FD0"/>
    <w:rsid w:val="05B719B7"/>
    <w:rsid w:val="05CD39CA"/>
    <w:rsid w:val="061A7A53"/>
    <w:rsid w:val="064C4B9C"/>
    <w:rsid w:val="07C52F71"/>
    <w:rsid w:val="08762553"/>
    <w:rsid w:val="08A76A28"/>
    <w:rsid w:val="08D564DF"/>
    <w:rsid w:val="092D7E14"/>
    <w:rsid w:val="09874E9E"/>
    <w:rsid w:val="09E67B21"/>
    <w:rsid w:val="0A684300"/>
    <w:rsid w:val="0A6E5014"/>
    <w:rsid w:val="0AFA123A"/>
    <w:rsid w:val="0BCB7CAC"/>
    <w:rsid w:val="0BD32A7B"/>
    <w:rsid w:val="0CDE7CCB"/>
    <w:rsid w:val="0D22292B"/>
    <w:rsid w:val="0D9E097F"/>
    <w:rsid w:val="0E517137"/>
    <w:rsid w:val="0E6F36F5"/>
    <w:rsid w:val="0F25373D"/>
    <w:rsid w:val="0F5D11D1"/>
    <w:rsid w:val="10370282"/>
    <w:rsid w:val="11633A5F"/>
    <w:rsid w:val="117849B7"/>
    <w:rsid w:val="118A1924"/>
    <w:rsid w:val="124F0353"/>
    <w:rsid w:val="12CF5EA4"/>
    <w:rsid w:val="13217201"/>
    <w:rsid w:val="143516C6"/>
    <w:rsid w:val="1495780F"/>
    <w:rsid w:val="14FD3AEC"/>
    <w:rsid w:val="15AA0145"/>
    <w:rsid w:val="16C73092"/>
    <w:rsid w:val="17777968"/>
    <w:rsid w:val="17FA6861"/>
    <w:rsid w:val="181810EC"/>
    <w:rsid w:val="18E12AC2"/>
    <w:rsid w:val="1967228C"/>
    <w:rsid w:val="1A16272D"/>
    <w:rsid w:val="1A611AD4"/>
    <w:rsid w:val="1B430B6D"/>
    <w:rsid w:val="1B6768E4"/>
    <w:rsid w:val="1DCB5A66"/>
    <w:rsid w:val="1E2E0275"/>
    <w:rsid w:val="1E9043C5"/>
    <w:rsid w:val="1E9FBD37"/>
    <w:rsid w:val="1EBC7742"/>
    <w:rsid w:val="1FA11E8C"/>
    <w:rsid w:val="1FEF3905"/>
    <w:rsid w:val="201D27F4"/>
    <w:rsid w:val="20B445B6"/>
    <w:rsid w:val="20E351A6"/>
    <w:rsid w:val="2135115C"/>
    <w:rsid w:val="217A1283"/>
    <w:rsid w:val="21E309B4"/>
    <w:rsid w:val="22C225D6"/>
    <w:rsid w:val="234D25F9"/>
    <w:rsid w:val="2365456E"/>
    <w:rsid w:val="243532FE"/>
    <w:rsid w:val="247901E1"/>
    <w:rsid w:val="24D11F36"/>
    <w:rsid w:val="25751BFB"/>
    <w:rsid w:val="25D76C90"/>
    <w:rsid w:val="25EE0F8C"/>
    <w:rsid w:val="26CA00BD"/>
    <w:rsid w:val="27E02BD0"/>
    <w:rsid w:val="2841707C"/>
    <w:rsid w:val="28682868"/>
    <w:rsid w:val="288F7819"/>
    <w:rsid w:val="29314E9D"/>
    <w:rsid w:val="297E6E36"/>
    <w:rsid w:val="2A4C7C25"/>
    <w:rsid w:val="2A7F41A5"/>
    <w:rsid w:val="2B9F7A64"/>
    <w:rsid w:val="2BC45BB1"/>
    <w:rsid w:val="2BCE6216"/>
    <w:rsid w:val="2C3A77E7"/>
    <w:rsid w:val="2CD25C68"/>
    <w:rsid w:val="2DCF4DEA"/>
    <w:rsid w:val="2DD459B5"/>
    <w:rsid w:val="2E063D59"/>
    <w:rsid w:val="2E0943AF"/>
    <w:rsid w:val="2E1A8AE9"/>
    <w:rsid w:val="2E734702"/>
    <w:rsid w:val="2EE03FD8"/>
    <w:rsid w:val="2F7B2DB6"/>
    <w:rsid w:val="2F7FC5B9"/>
    <w:rsid w:val="30E465C1"/>
    <w:rsid w:val="30F414BC"/>
    <w:rsid w:val="31F36FC5"/>
    <w:rsid w:val="326229CE"/>
    <w:rsid w:val="32A31B6A"/>
    <w:rsid w:val="32E40BCF"/>
    <w:rsid w:val="331E7E96"/>
    <w:rsid w:val="332C7AE5"/>
    <w:rsid w:val="34E622CC"/>
    <w:rsid w:val="3518076D"/>
    <w:rsid w:val="357F0059"/>
    <w:rsid w:val="36377E42"/>
    <w:rsid w:val="369E2266"/>
    <w:rsid w:val="36CC5815"/>
    <w:rsid w:val="36E143AF"/>
    <w:rsid w:val="36F522ED"/>
    <w:rsid w:val="37180826"/>
    <w:rsid w:val="37B73B9A"/>
    <w:rsid w:val="3927780D"/>
    <w:rsid w:val="396E79B1"/>
    <w:rsid w:val="3A507CFD"/>
    <w:rsid w:val="3B3D606B"/>
    <w:rsid w:val="3B4A6153"/>
    <w:rsid w:val="3B804520"/>
    <w:rsid w:val="3BC93210"/>
    <w:rsid w:val="3C000E17"/>
    <w:rsid w:val="3C197482"/>
    <w:rsid w:val="3CFDDC9D"/>
    <w:rsid w:val="3CFFE066"/>
    <w:rsid w:val="3D605BEC"/>
    <w:rsid w:val="3E182231"/>
    <w:rsid w:val="3E285492"/>
    <w:rsid w:val="3E9527CD"/>
    <w:rsid w:val="3EA4535C"/>
    <w:rsid w:val="3F924980"/>
    <w:rsid w:val="3FE11062"/>
    <w:rsid w:val="411B3E25"/>
    <w:rsid w:val="41A0423A"/>
    <w:rsid w:val="437918D7"/>
    <w:rsid w:val="43DB9011"/>
    <w:rsid w:val="444C0A3D"/>
    <w:rsid w:val="46263CBA"/>
    <w:rsid w:val="466F1A18"/>
    <w:rsid w:val="46C654D8"/>
    <w:rsid w:val="478377FC"/>
    <w:rsid w:val="47E47277"/>
    <w:rsid w:val="47FE856F"/>
    <w:rsid w:val="481E29D5"/>
    <w:rsid w:val="496A1FBC"/>
    <w:rsid w:val="49AC7AFF"/>
    <w:rsid w:val="49FB5B53"/>
    <w:rsid w:val="4A385619"/>
    <w:rsid w:val="4C5A1911"/>
    <w:rsid w:val="4CBB54C5"/>
    <w:rsid w:val="4D3D3D81"/>
    <w:rsid w:val="4D6A6C6E"/>
    <w:rsid w:val="4F0D0046"/>
    <w:rsid w:val="4F315C87"/>
    <w:rsid w:val="4F3A6C55"/>
    <w:rsid w:val="4F9D5196"/>
    <w:rsid w:val="4FCB015E"/>
    <w:rsid w:val="4FD7B566"/>
    <w:rsid w:val="4FE71C85"/>
    <w:rsid w:val="4FF941E9"/>
    <w:rsid w:val="501E534D"/>
    <w:rsid w:val="506F6AB4"/>
    <w:rsid w:val="50D969DD"/>
    <w:rsid w:val="518318F6"/>
    <w:rsid w:val="52B93647"/>
    <w:rsid w:val="52FB7D1E"/>
    <w:rsid w:val="53B13B49"/>
    <w:rsid w:val="53BF18F8"/>
    <w:rsid w:val="545F41C3"/>
    <w:rsid w:val="54E855EA"/>
    <w:rsid w:val="561E7139"/>
    <w:rsid w:val="5665643D"/>
    <w:rsid w:val="56996E27"/>
    <w:rsid w:val="56A32AFE"/>
    <w:rsid w:val="570C84D6"/>
    <w:rsid w:val="57FE2775"/>
    <w:rsid w:val="57FF52B4"/>
    <w:rsid w:val="58164E61"/>
    <w:rsid w:val="5A78408E"/>
    <w:rsid w:val="5ADD53AC"/>
    <w:rsid w:val="5B5F64E0"/>
    <w:rsid w:val="5C2E7EA2"/>
    <w:rsid w:val="5C920F93"/>
    <w:rsid w:val="5CD31049"/>
    <w:rsid w:val="5D097637"/>
    <w:rsid w:val="5D1A27D4"/>
    <w:rsid w:val="5EA105B8"/>
    <w:rsid w:val="5EBC53AE"/>
    <w:rsid w:val="5F040BBF"/>
    <w:rsid w:val="5F5B6D42"/>
    <w:rsid w:val="606D46E7"/>
    <w:rsid w:val="60BE6428"/>
    <w:rsid w:val="60CE1B27"/>
    <w:rsid w:val="61700FEC"/>
    <w:rsid w:val="6242638E"/>
    <w:rsid w:val="6340359C"/>
    <w:rsid w:val="63973621"/>
    <w:rsid w:val="6439606E"/>
    <w:rsid w:val="643B5A23"/>
    <w:rsid w:val="64466986"/>
    <w:rsid w:val="64480544"/>
    <w:rsid w:val="64900111"/>
    <w:rsid w:val="649259CB"/>
    <w:rsid w:val="65884958"/>
    <w:rsid w:val="66705CED"/>
    <w:rsid w:val="66A60D3C"/>
    <w:rsid w:val="66C11224"/>
    <w:rsid w:val="66DE17AD"/>
    <w:rsid w:val="67495017"/>
    <w:rsid w:val="67762DCB"/>
    <w:rsid w:val="67DFE4D9"/>
    <w:rsid w:val="68782A11"/>
    <w:rsid w:val="690C141D"/>
    <w:rsid w:val="69447204"/>
    <w:rsid w:val="69676216"/>
    <w:rsid w:val="69FE3D25"/>
    <w:rsid w:val="6A744ED3"/>
    <w:rsid w:val="6AB4086D"/>
    <w:rsid w:val="6BAA23FE"/>
    <w:rsid w:val="6BC40E57"/>
    <w:rsid w:val="6BD83EC4"/>
    <w:rsid w:val="6BD908A9"/>
    <w:rsid w:val="6BF54F75"/>
    <w:rsid w:val="6BF66A16"/>
    <w:rsid w:val="6C713901"/>
    <w:rsid w:val="6CC97EDB"/>
    <w:rsid w:val="6DCE38E3"/>
    <w:rsid w:val="6E4770F5"/>
    <w:rsid w:val="6ED84FB9"/>
    <w:rsid w:val="6EFD6889"/>
    <w:rsid w:val="71173813"/>
    <w:rsid w:val="71192D3C"/>
    <w:rsid w:val="717E0046"/>
    <w:rsid w:val="71F9EF87"/>
    <w:rsid w:val="72015282"/>
    <w:rsid w:val="723F49D3"/>
    <w:rsid w:val="727B7C0F"/>
    <w:rsid w:val="72C536AA"/>
    <w:rsid w:val="72F987B8"/>
    <w:rsid w:val="73C54FDF"/>
    <w:rsid w:val="73F7CEC1"/>
    <w:rsid w:val="742362FE"/>
    <w:rsid w:val="745277DA"/>
    <w:rsid w:val="747176BA"/>
    <w:rsid w:val="74D40ED9"/>
    <w:rsid w:val="75436055"/>
    <w:rsid w:val="75F4153D"/>
    <w:rsid w:val="764C7DA4"/>
    <w:rsid w:val="765B2D60"/>
    <w:rsid w:val="76D2478A"/>
    <w:rsid w:val="76DC260F"/>
    <w:rsid w:val="77521AE0"/>
    <w:rsid w:val="77B7DF0B"/>
    <w:rsid w:val="77BBEB4A"/>
    <w:rsid w:val="77F3B223"/>
    <w:rsid w:val="77F6E715"/>
    <w:rsid w:val="7818268B"/>
    <w:rsid w:val="786C717B"/>
    <w:rsid w:val="788225F8"/>
    <w:rsid w:val="79497DE4"/>
    <w:rsid w:val="79B20116"/>
    <w:rsid w:val="79E4772A"/>
    <w:rsid w:val="7A2A0313"/>
    <w:rsid w:val="7AF75B1C"/>
    <w:rsid w:val="7B0A3F57"/>
    <w:rsid w:val="7B0F2CA0"/>
    <w:rsid w:val="7B1269E4"/>
    <w:rsid w:val="7B4D6EA0"/>
    <w:rsid w:val="7B744E61"/>
    <w:rsid w:val="7BA40208"/>
    <w:rsid w:val="7BE350CF"/>
    <w:rsid w:val="7BFD3C88"/>
    <w:rsid w:val="7BFE26B3"/>
    <w:rsid w:val="7C7D3373"/>
    <w:rsid w:val="7CFFACD8"/>
    <w:rsid w:val="7D742900"/>
    <w:rsid w:val="7DDF3DEC"/>
    <w:rsid w:val="7DE24EA8"/>
    <w:rsid w:val="7E1C7AB2"/>
    <w:rsid w:val="7EC9033C"/>
    <w:rsid w:val="7ED91F60"/>
    <w:rsid w:val="7EFF9DD0"/>
    <w:rsid w:val="7F2F0A7B"/>
    <w:rsid w:val="7F77718D"/>
    <w:rsid w:val="7FDFB9B2"/>
    <w:rsid w:val="7FE7C3B7"/>
    <w:rsid w:val="7FEB35DE"/>
    <w:rsid w:val="7FF37364"/>
    <w:rsid w:val="7FFF52A0"/>
    <w:rsid w:val="9AEFE9FF"/>
    <w:rsid w:val="9FDB534A"/>
    <w:rsid w:val="BE5F6C11"/>
    <w:rsid w:val="BFEF4CDE"/>
    <w:rsid w:val="D17F9C9D"/>
    <w:rsid w:val="D9656E9C"/>
    <w:rsid w:val="DBD92C97"/>
    <w:rsid w:val="DFBDFAB2"/>
    <w:rsid w:val="E7FE8A12"/>
    <w:rsid w:val="F3F3B154"/>
    <w:rsid w:val="F4FF7916"/>
    <w:rsid w:val="F5FA5CF7"/>
    <w:rsid w:val="F7EEFF87"/>
    <w:rsid w:val="F7FB80E9"/>
    <w:rsid w:val="F7FF547A"/>
    <w:rsid w:val="F8FBB11B"/>
    <w:rsid w:val="F8FF0F07"/>
    <w:rsid w:val="FAF9D623"/>
    <w:rsid w:val="FBBD8FAB"/>
    <w:rsid w:val="FBEBA2E1"/>
    <w:rsid w:val="FBED0F9F"/>
    <w:rsid w:val="FBFDDEA9"/>
    <w:rsid w:val="FCAB4F80"/>
    <w:rsid w:val="FCDFFF64"/>
    <w:rsid w:val="FCFD7463"/>
    <w:rsid w:val="FDA32A47"/>
    <w:rsid w:val="FDF77E09"/>
    <w:rsid w:val="FFF8711F"/>
    <w:rsid w:val="FFFBB0B0"/>
    <w:rsid w:val="FFFF6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7"/>
    <w:unhideWhenUsed/>
    <w:qFormat/>
    <w:uiPriority w:val="9"/>
    <w:pPr>
      <w:keepNext/>
      <w:keepLines/>
      <w:spacing w:before="260" w:after="260" w:line="416" w:lineRule="auto"/>
      <w:outlineLvl w:val="2"/>
    </w:pPr>
    <w:rPr>
      <w:b/>
      <w:bCs/>
      <w:sz w:val="32"/>
      <w:szCs w:val="32"/>
    </w:rPr>
  </w:style>
  <w:style w:type="character" w:default="1" w:styleId="21">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style>
  <w:style w:type="paragraph" w:styleId="6">
    <w:name w:val="index 5"/>
    <w:basedOn w:val="1"/>
    <w:next w:val="1"/>
    <w:unhideWhenUsed/>
    <w:qFormat/>
    <w:uiPriority w:val="99"/>
    <w:pPr>
      <w:widowControl w:val="0"/>
      <w:ind w:left="1680"/>
      <w:jc w:val="both"/>
    </w:pPr>
    <w:rPr>
      <w:rFonts w:ascii="Calibri" w:hAnsi="Calibri" w:eastAsia="宋体" w:cs="Times New Roman"/>
      <w:kern w:val="2"/>
      <w:sz w:val="32"/>
      <w:szCs w:val="24"/>
      <w:lang w:val="en-US" w:eastAsia="zh-CN" w:bidi="ar-SA"/>
    </w:rPr>
  </w:style>
  <w:style w:type="paragraph" w:styleId="7">
    <w:name w:val="annotation text"/>
    <w:basedOn w:val="1"/>
    <w:link w:val="52"/>
    <w:unhideWhenUsed/>
    <w:qFormat/>
    <w:uiPriority w:val="99"/>
    <w:pPr>
      <w:spacing w:line="560" w:lineRule="exact"/>
      <w:ind w:firstLine="200" w:firstLineChars="200"/>
      <w:jc w:val="left"/>
    </w:pPr>
    <w:rPr>
      <w:rFonts w:ascii="Times New Roman" w:hAnsi="Times New Roman" w:eastAsia="仿宋_GB2312" w:cs="Times New Roman"/>
      <w:sz w:val="32"/>
    </w:rPr>
  </w:style>
  <w:style w:type="paragraph" w:styleId="8">
    <w:name w:val="toc 5"/>
    <w:basedOn w:val="1"/>
    <w:next w:val="1"/>
    <w:unhideWhenUsed/>
    <w:qFormat/>
    <w:uiPriority w:val="39"/>
    <w:pPr>
      <w:ind w:left="1680" w:leftChars="800"/>
    </w:pPr>
  </w:style>
  <w:style w:type="paragraph" w:styleId="9">
    <w:name w:val="toc 3"/>
    <w:basedOn w:val="1"/>
    <w:next w:val="1"/>
    <w:unhideWhenUsed/>
    <w:qFormat/>
    <w:uiPriority w:val="39"/>
    <w:pPr>
      <w:spacing w:line="560" w:lineRule="exact"/>
      <w:ind w:left="840" w:leftChars="400" w:firstLine="200" w:firstLineChars="200"/>
    </w:pPr>
    <w:rPr>
      <w:rFonts w:ascii="Times New Roman" w:hAnsi="Times New Roman" w:eastAsia="仿宋_GB2312" w:cs="Times New Roman"/>
      <w:sz w:val="32"/>
    </w:rPr>
  </w:style>
  <w:style w:type="paragraph" w:styleId="10">
    <w:name w:val="toc 8"/>
    <w:basedOn w:val="1"/>
    <w:next w:val="1"/>
    <w:unhideWhenUsed/>
    <w:qFormat/>
    <w:uiPriority w:val="39"/>
    <w:pPr>
      <w:ind w:left="2940" w:leftChars="1400"/>
    </w:pPr>
  </w:style>
  <w:style w:type="paragraph" w:styleId="11">
    <w:name w:val="Balloon Text"/>
    <w:basedOn w:val="1"/>
    <w:link w:val="44"/>
    <w:unhideWhenUsed/>
    <w:qFormat/>
    <w:uiPriority w:val="99"/>
    <w:pPr>
      <w:ind w:firstLine="200" w:firstLineChars="200"/>
    </w:pPr>
    <w:rPr>
      <w:rFonts w:ascii="Times New Roman" w:hAnsi="Times New Roman" w:eastAsia="仿宋_GB2312" w:cs="Times New Roman"/>
      <w:sz w:val="18"/>
      <w:szCs w:val="18"/>
    </w:rPr>
  </w:style>
  <w:style w:type="paragraph" w:styleId="12">
    <w:name w:val="footer"/>
    <w:basedOn w:val="1"/>
    <w:next w:val="6"/>
    <w:link w:val="26"/>
    <w:unhideWhenUsed/>
    <w:qFormat/>
    <w:uiPriority w:val="99"/>
    <w:pPr>
      <w:tabs>
        <w:tab w:val="center" w:pos="4153"/>
        <w:tab w:val="right" w:pos="8306"/>
      </w:tabs>
      <w:snapToGrid w:val="0"/>
      <w:jc w:val="left"/>
    </w:pPr>
    <w:rPr>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tabs>
        <w:tab w:val="right" w:leader="dot" w:pos="8296"/>
      </w:tabs>
      <w:ind w:firstLine="641"/>
    </w:pPr>
    <w:rPr>
      <w:rFonts w:ascii="黑体" w:hAnsi="黑体" w:eastAsia="黑体" w:cs="Times New Roman"/>
      <w:b/>
      <w:sz w:val="28"/>
      <w:szCs w:val="28"/>
    </w:rPr>
  </w:style>
  <w:style w:type="paragraph" w:styleId="15">
    <w:name w:val="toc 4"/>
    <w:basedOn w:val="1"/>
    <w:next w:val="1"/>
    <w:unhideWhenUsed/>
    <w:qFormat/>
    <w:uiPriority w:val="39"/>
    <w:pPr>
      <w:ind w:left="1260" w:leftChars="600"/>
    </w:pPr>
  </w:style>
  <w:style w:type="paragraph" w:styleId="16">
    <w:name w:val="toc 6"/>
    <w:basedOn w:val="1"/>
    <w:next w:val="1"/>
    <w:unhideWhenUsed/>
    <w:qFormat/>
    <w:uiPriority w:val="39"/>
    <w:pPr>
      <w:ind w:left="2100" w:leftChars="1000"/>
    </w:pPr>
  </w:style>
  <w:style w:type="paragraph" w:styleId="17">
    <w:name w:val="toc 2"/>
    <w:basedOn w:val="1"/>
    <w:next w:val="1"/>
    <w:unhideWhenUsed/>
    <w:qFormat/>
    <w:uiPriority w:val="39"/>
    <w:pPr>
      <w:spacing w:line="560" w:lineRule="exact"/>
      <w:ind w:left="420" w:leftChars="200" w:firstLine="200" w:firstLineChars="200"/>
    </w:pPr>
    <w:rPr>
      <w:rFonts w:ascii="Times New Roman" w:hAnsi="Times New Roman" w:eastAsia="仿宋_GB2312" w:cs="Times New Roman"/>
      <w:sz w:val="32"/>
    </w:rPr>
  </w:style>
  <w:style w:type="paragraph" w:styleId="18">
    <w:name w:val="toc 9"/>
    <w:basedOn w:val="1"/>
    <w:next w:val="1"/>
    <w:unhideWhenUsed/>
    <w:qFormat/>
    <w:uiPriority w:val="39"/>
    <w:pPr>
      <w:ind w:left="3360" w:leftChars="1600"/>
    </w:pPr>
  </w:style>
  <w:style w:type="paragraph" w:styleId="19">
    <w:name w:val="annotation subject"/>
    <w:basedOn w:val="7"/>
    <w:next w:val="7"/>
    <w:link w:val="53"/>
    <w:unhideWhenUsed/>
    <w:qFormat/>
    <w:uiPriority w:val="99"/>
    <w:rPr>
      <w:b/>
      <w:bCs/>
    </w:rPr>
  </w:style>
  <w:style w:type="character" w:styleId="22">
    <w:name w:val="FollowedHyperlink"/>
    <w:basedOn w:val="21"/>
    <w:unhideWhenUsed/>
    <w:qFormat/>
    <w:uiPriority w:val="99"/>
    <w:rPr>
      <w:color w:val="954F72"/>
      <w:u w:val="single"/>
    </w:rPr>
  </w:style>
  <w:style w:type="character" w:styleId="23">
    <w:name w:val="Hyperlink"/>
    <w:basedOn w:val="21"/>
    <w:unhideWhenUsed/>
    <w:qFormat/>
    <w:uiPriority w:val="99"/>
    <w:rPr>
      <w:color w:val="0563C1" w:themeColor="hyperlink"/>
      <w:u w:val="single"/>
      <w14:textFill>
        <w14:solidFill>
          <w14:schemeClr w14:val="hlink"/>
        </w14:solidFill>
      </w14:textFill>
    </w:rPr>
  </w:style>
  <w:style w:type="character" w:styleId="24">
    <w:name w:val="annotation reference"/>
    <w:basedOn w:val="21"/>
    <w:unhideWhenUsed/>
    <w:qFormat/>
    <w:uiPriority w:val="99"/>
    <w:rPr>
      <w:sz w:val="21"/>
      <w:szCs w:val="21"/>
    </w:rPr>
  </w:style>
  <w:style w:type="character" w:customStyle="1" w:styleId="25">
    <w:name w:val="页眉 字符"/>
    <w:basedOn w:val="21"/>
    <w:link w:val="13"/>
    <w:qFormat/>
    <w:uiPriority w:val="99"/>
    <w:rPr>
      <w:sz w:val="18"/>
      <w:szCs w:val="18"/>
    </w:rPr>
  </w:style>
  <w:style w:type="character" w:customStyle="1" w:styleId="26">
    <w:name w:val="页脚 字符"/>
    <w:basedOn w:val="21"/>
    <w:link w:val="12"/>
    <w:qFormat/>
    <w:uiPriority w:val="99"/>
    <w:rPr>
      <w:sz w:val="18"/>
      <w:szCs w:val="18"/>
    </w:rPr>
  </w:style>
  <w:style w:type="paragraph" w:customStyle="1" w:styleId="27">
    <w:name w:val="正文2"/>
    <w:basedOn w:val="1"/>
    <w:link w:val="28"/>
    <w:qFormat/>
    <w:uiPriority w:val="0"/>
    <w:pPr>
      <w:adjustRightInd w:val="0"/>
      <w:snapToGrid w:val="0"/>
      <w:spacing w:line="360" w:lineRule="auto"/>
      <w:ind w:firstLine="640" w:firstLineChars="200"/>
    </w:pPr>
    <w:rPr>
      <w:rFonts w:ascii="Times New Roman" w:hAnsi="Times New Roman" w:eastAsia="仿宋" w:cs="仿宋_GB2312"/>
      <w:sz w:val="32"/>
      <w:szCs w:val="32"/>
    </w:rPr>
  </w:style>
  <w:style w:type="character" w:customStyle="1" w:styleId="28">
    <w:name w:val="正文2 Char"/>
    <w:basedOn w:val="21"/>
    <w:link w:val="27"/>
    <w:qFormat/>
    <w:uiPriority w:val="0"/>
    <w:rPr>
      <w:rFonts w:ascii="Times New Roman" w:hAnsi="Times New Roman" w:eastAsia="仿宋" w:cs="仿宋_GB2312"/>
      <w:sz w:val="32"/>
      <w:szCs w:val="32"/>
    </w:rPr>
  </w:style>
  <w:style w:type="paragraph" w:customStyle="1" w:styleId="29">
    <w:name w:val="一、"/>
    <w:basedOn w:val="2"/>
    <w:link w:val="30"/>
    <w:qFormat/>
    <w:uiPriority w:val="0"/>
    <w:pPr>
      <w:spacing w:before="0" w:after="0" w:line="360" w:lineRule="auto"/>
    </w:pPr>
    <w:rPr>
      <w:rFonts w:ascii="Times New Roman" w:hAnsi="Times New Roman" w:eastAsia="黑体" w:cs="Times New Roman"/>
      <w:b w:val="0"/>
      <w:sz w:val="30"/>
    </w:rPr>
  </w:style>
  <w:style w:type="character" w:customStyle="1" w:styleId="30">
    <w:name w:val="一、 Char"/>
    <w:basedOn w:val="31"/>
    <w:link w:val="29"/>
    <w:qFormat/>
    <w:uiPriority w:val="0"/>
    <w:rPr>
      <w:rFonts w:ascii="Times New Roman" w:hAnsi="Times New Roman" w:eastAsia="黑体" w:cs="Times New Roman"/>
      <w:b w:val="0"/>
      <w:kern w:val="44"/>
      <w:sz w:val="30"/>
      <w:szCs w:val="44"/>
    </w:rPr>
  </w:style>
  <w:style w:type="character" w:customStyle="1" w:styleId="31">
    <w:name w:val="标题 1 字符"/>
    <w:basedOn w:val="21"/>
    <w:link w:val="2"/>
    <w:qFormat/>
    <w:uiPriority w:val="9"/>
    <w:rPr>
      <w:b/>
      <w:bCs/>
      <w:kern w:val="44"/>
      <w:sz w:val="44"/>
      <w:szCs w:val="44"/>
    </w:rPr>
  </w:style>
  <w:style w:type="paragraph" w:customStyle="1" w:styleId="32">
    <w:name w:val="（一）"/>
    <w:basedOn w:val="3"/>
    <w:link w:val="33"/>
    <w:qFormat/>
    <w:uiPriority w:val="0"/>
    <w:pPr>
      <w:spacing w:before="0" w:after="0" w:line="360" w:lineRule="auto"/>
    </w:pPr>
    <w:rPr>
      <w:rFonts w:ascii="Times New Roman" w:hAnsi="Times New Roman" w:eastAsia="黑体"/>
      <w:b w:val="0"/>
      <w:sz w:val="30"/>
    </w:rPr>
  </w:style>
  <w:style w:type="character" w:customStyle="1" w:styleId="33">
    <w:name w:val="（一） Char"/>
    <w:basedOn w:val="34"/>
    <w:link w:val="32"/>
    <w:qFormat/>
    <w:uiPriority w:val="0"/>
    <w:rPr>
      <w:rFonts w:ascii="Times New Roman" w:hAnsi="Times New Roman" w:eastAsia="黑体" w:cstheme="majorBidi"/>
      <w:b w:val="0"/>
      <w:sz w:val="30"/>
      <w:szCs w:val="32"/>
    </w:rPr>
  </w:style>
  <w:style w:type="character" w:customStyle="1" w:styleId="34">
    <w:name w:val="标题 2 字符"/>
    <w:basedOn w:val="21"/>
    <w:link w:val="3"/>
    <w:qFormat/>
    <w:uiPriority w:val="9"/>
    <w:rPr>
      <w:rFonts w:asciiTheme="majorHAnsi" w:hAnsiTheme="majorHAnsi" w:eastAsiaTheme="majorEastAsia" w:cstheme="majorBidi"/>
      <w:b/>
      <w:bCs/>
      <w:sz w:val="32"/>
      <w:szCs w:val="32"/>
    </w:rPr>
  </w:style>
  <w:style w:type="paragraph" w:customStyle="1" w:styleId="35">
    <w:name w:val="1、"/>
    <w:basedOn w:val="4"/>
    <w:link w:val="36"/>
    <w:qFormat/>
    <w:uiPriority w:val="0"/>
    <w:pPr>
      <w:spacing w:before="0" w:after="0" w:line="360" w:lineRule="auto"/>
    </w:pPr>
    <w:rPr>
      <w:rFonts w:ascii="Times New Roman" w:hAnsi="Times New Roman" w:eastAsia="黑体" w:cs="Times New Roman"/>
      <w:sz w:val="28"/>
    </w:rPr>
  </w:style>
  <w:style w:type="character" w:customStyle="1" w:styleId="36">
    <w:name w:val="1、 Char"/>
    <w:basedOn w:val="37"/>
    <w:link w:val="35"/>
    <w:qFormat/>
    <w:uiPriority w:val="0"/>
    <w:rPr>
      <w:rFonts w:ascii="Times New Roman" w:hAnsi="Times New Roman" w:eastAsia="黑体" w:cs="Times New Roman"/>
      <w:sz w:val="28"/>
      <w:szCs w:val="32"/>
    </w:rPr>
  </w:style>
  <w:style w:type="character" w:customStyle="1" w:styleId="37">
    <w:name w:val="标题 3 字符"/>
    <w:basedOn w:val="21"/>
    <w:link w:val="4"/>
    <w:qFormat/>
    <w:uiPriority w:val="9"/>
    <w:rPr>
      <w:b/>
      <w:bCs/>
      <w:sz w:val="32"/>
      <w:szCs w:val="32"/>
    </w:rPr>
  </w:style>
  <w:style w:type="paragraph" w:customStyle="1" w:styleId="38">
    <w:name w:val="表3-1"/>
    <w:basedOn w:val="1"/>
    <w:link w:val="40"/>
    <w:qFormat/>
    <w:uiPriority w:val="0"/>
    <w:pPr>
      <w:adjustRightInd w:val="0"/>
      <w:snapToGrid w:val="0"/>
      <w:ind w:firstLine="500" w:firstLineChars="500"/>
    </w:pPr>
    <w:rPr>
      <w:rFonts w:ascii="Times New Roman" w:hAnsi="Times New Roman" w:eastAsia="黑体"/>
      <w:sz w:val="24"/>
      <w:szCs w:val="30"/>
    </w:rPr>
  </w:style>
  <w:style w:type="paragraph" w:customStyle="1" w:styleId="39">
    <w:name w:val="专栏1"/>
    <w:basedOn w:val="27"/>
    <w:link w:val="42"/>
    <w:qFormat/>
    <w:uiPriority w:val="0"/>
    <w:pPr>
      <w:ind w:firstLine="562"/>
      <w:outlineLvl w:val="2"/>
    </w:pPr>
    <w:rPr>
      <w:rFonts w:ascii="黑体" w:hAnsi="黑体" w:eastAsia="黑体"/>
      <w:b/>
      <w:bCs/>
      <w:sz w:val="28"/>
      <w:szCs w:val="28"/>
    </w:rPr>
  </w:style>
  <w:style w:type="character" w:customStyle="1" w:styleId="40">
    <w:name w:val="表3-1 字符"/>
    <w:basedOn w:val="21"/>
    <w:link w:val="38"/>
    <w:qFormat/>
    <w:uiPriority w:val="0"/>
    <w:rPr>
      <w:rFonts w:ascii="Times New Roman" w:hAnsi="Times New Roman" w:eastAsia="黑体"/>
      <w:sz w:val="24"/>
      <w:szCs w:val="30"/>
    </w:rPr>
  </w:style>
  <w:style w:type="paragraph" w:customStyle="1" w:styleId="41">
    <w:name w:val="专栏正文"/>
    <w:basedOn w:val="27"/>
    <w:link w:val="43"/>
    <w:qFormat/>
    <w:uiPriority w:val="0"/>
    <w:pPr>
      <w:spacing w:line="360" w:lineRule="exact"/>
      <w:ind w:firstLine="480"/>
    </w:pPr>
    <w:rPr>
      <w:rFonts w:eastAsia="宋体"/>
      <w:sz w:val="24"/>
      <w:szCs w:val="24"/>
    </w:rPr>
  </w:style>
  <w:style w:type="character" w:customStyle="1" w:styleId="42">
    <w:name w:val="专栏1 字符"/>
    <w:basedOn w:val="28"/>
    <w:link w:val="39"/>
    <w:qFormat/>
    <w:uiPriority w:val="0"/>
    <w:rPr>
      <w:rFonts w:ascii="黑体" w:hAnsi="黑体" w:eastAsia="黑体" w:cs="仿宋_GB2312"/>
      <w:b/>
      <w:bCs/>
      <w:sz w:val="28"/>
      <w:szCs w:val="28"/>
    </w:rPr>
  </w:style>
  <w:style w:type="character" w:customStyle="1" w:styleId="43">
    <w:name w:val="专栏正文 字符"/>
    <w:basedOn w:val="28"/>
    <w:link w:val="41"/>
    <w:qFormat/>
    <w:uiPriority w:val="0"/>
    <w:rPr>
      <w:rFonts w:ascii="Times New Roman" w:hAnsi="Times New Roman" w:eastAsia="宋体" w:cs="仿宋_GB2312"/>
      <w:sz w:val="24"/>
      <w:szCs w:val="24"/>
    </w:rPr>
  </w:style>
  <w:style w:type="character" w:customStyle="1" w:styleId="44">
    <w:name w:val="批注框文本 字符"/>
    <w:basedOn w:val="21"/>
    <w:link w:val="11"/>
    <w:semiHidden/>
    <w:qFormat/>
    <w:uiPriority w:val="99"/>
    <w:rPr>
      <w:rFonts w:ascii="Times New Roman" w:hAnsi="Times New Roman" w:eastAsia="仿宋_GB2312" w:cs="Times New Roman"/>
      <w:sz w:val="18"/>
      <w:szCs w:val="18"/>
    </w:rPr>
  </w:style>
  <w:style w:type="paragraph" w:customStyle="1" w:styleId="45">
    <w:name w:val="p0"/>
    <w:basedOn w:val="1"/>
    <w:qFormat/>
    <w:uiPriority w:val="0"/>
    <w:pPr>
      <w:widowControl/>
    </w:pPr>
    <w:rPr>
      <w:rFonts w:ascii="Times New Roman" w:hAnsi="Times New Roman" w:eastAsia="宋体" w:cs="Times New Roman"/>
      <w:kern w:val="0"/>
      <w:szCs w:val="21"/>
    </w:rPr>
  </w:style>
  <w:style w:type="paragraph" w:customStyle="1" w:styleId="46">
    <w:name w:val="正文1"/>
    <w:basedOn w:val="1"/>
    <w:link w:val="47"/>
    <w:qFormat/>
    <w:uiPriority w:val="0"/>
    <w:pPr>
      <w:ind w:firstLine="640" w:firstLineChars="200"/>
    </w:pPr>
    <w:rPr>
      <w:rFonts w:ascii="Times New Roman" w:hAnsi="Times New Roman" w:eastAsia="仿宋_GB2312" w:cs="Times New Roman"/>
      <w:sz w:val="32"/>
      <w:szCs w:val="32"/>
    </w:rPr>
  </w:style>
  <w:style w:type="character" w:customStyle="1" w:styleId="47">
    <w:name w:val="正文1 Char"/>
    <w:basedOn w:val="21"/>
    <w:link w:val="46"/>
    <w:qFormat/>
    <w:uiPriority w:val="0"/>
    <w:rPr>
      <w:rFonts w:ascii="Times New Roman" w:hAnsi="Times New Roman" w:eastAsia="仿宋_GB2312" w:cs="Times New Roman"/>
      <w:sz w:val="32"/>
      <w:szCs w:val="32"/>
    </w:rPr>
  </w:style>
  <w:style w:type="paragraph" w:customStyle="1" w:styleId="48">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paragraph" w:customStyle="1" w:styleId="49">
    <w:name w:val="样式 首行缩进:  2 字符"/>
    <w:basedOn w:val="1"/>
    <w:qFormat/>
    <w:uiPriority w:val="0"/>
    <w:pPr>
      <w:spacing w:line="560" w:lineRule="exact"/>
      <w:ind w:firstLine="560" w:firstLineChars="200"/>
    </w:pPr>
    <w:rPr>
      <w:rFonts w:ascii="仿宋_GB2312" w:hAnsi="宋体" w:eastAsia="仿宋_GB2312" w:cs="Times New Roman"/>
      <w:color w:val="000000"/>
      <w:sz w:val="28"/>
      <w:szCs w:val="28"/>
    </w:rPr>
  </w:style>
  <w:style w:type="paragraph" w:customStyle="1" w:styleId="50">
    <w:name w:val="List Paragraph"/>
    <w:basedOn w:val="1"/>
    <w:qFormat/>
    <w:uiPriority w:val="34"/>
    <w:pPr>
      <w:spacing w:line="560" w:lineRule="exact"/>
      <w:ind w:firstLine="420" w:firstLineChars="200"/>
    </w:pPr>
    <w:rPr>
      <w:rFonts w:ascii="Times New Roman" w:hAnsi="Times New Roman" w:eastAsia="仿宋_GB2312" w:cs="Times New Roman"/>
      <w:sz w:val="32"/>
    </w:rPr>
  </w:style>
  <w:style w:type="paragraph" w:customStyle="1" w:styleId="5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52">
    <w:name w:val="批注文字 字符"/>
    <w:basedOn w:val="21"/>
    <w:link w:val="7"/>
    <w:semiHidden/>
    <w:qFormat/>
    <w:uiPriority w:val="99"/>
    <w:rPr>
      <w:rFonts w:ascii="Times New Roman" w:hAnsi="Times New Roman" w:eastAsia="仿宋_GB2312" w:cs="Times New Roman"/>
      <w:sz w:val="32"/>
    </w:rPr>
  </w:style>
  <w:style w:type="character" w:customStyle="1" w:styleId="53">
    <w:name w:val="批注主题 字符"/>
    <w:basedOn w:val="52"/>
    <w:link w:val="19"/>
    <w:semiHidden/>
    <w:qFormat/>
    <w:uiPriority w:val="99"/>
    <w:rPr>
      <w:rFonts w:ascii="Times New Roman" w:hAnsi="Times New Roman" w:eastAsia="仿宋_GB2312" w:cs="Times New Roman"/>
      <w:b/>
      <w:bCs/>
      <w:sz w:val="32"/>
    </w:rPr>
  </w:style>
  <w:style w:type="paragraph" w:customStyle="1" w:styleId="54">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5">
    <w:name w:val="font5"/>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56">
    <w:name w:val="font6"/>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7">
    <w:name w:val="font7"/>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8">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5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6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6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6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6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6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6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6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6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6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69">
    <w:name w:val="xl8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1">
    <w:name w:val="xl8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72">
    <w:name w:val="xl90"/>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73">
    <w:name w:val="xl9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74">
    <w:name w:val="xl92"/>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75">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character" w:customStyle="1" w:styleId="76">
    <w:name w:val="未处理的提及1"/>
    <w:basedOn w:val="21"/>
    <w:unhideWhenUsed/>
    <w:qFormat/>
    <w:uiPriority w:val="99"/>
    <w:rPr>
      <w:color w:val="605E5C"/>
      <w:shd w:val="clear" w:color="auto" w:fill="E1DFDD"/>
    </w:rPr>
  </w:style>
  <w:style w:type="paragraph" w:customStyle="1" w:styleId="77">
    <w:name w:val="修订1"/>
    <w:hidden/>
    <w:semiHidden/>
    <w:qFormat/>
    <w:uiPriority w:val="99"/>
    <w:rPr>
      <w:rFonts w:ascii="Times New Roman" w:hAnsi="Times New Roman" w:eastAsia="仿宋_GB2312" w:cs="Times New Roman"/>
      <w:kern w:val="2"/>
      <w:sz w:val="32"/>
      <w:szCs w:val="22"/>
      <w:lang w:val="en-US" w:eastAsia="zh-CN" w:bidi="ar-SA"/>
    </w:rPr>
  </w:style>
  <w:style w:type="paragraph" w:customStyle="1" w:styleId="78">
    <w:name w:val="font8"/>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79">
    <w:name w:val="font9"/>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 w:val="20"/>
      <w:szCs w:val="20"/>
    </w:rPr>
  </w:style>
  <w:style w:type="paragraph" w:customStyle="1" w:styleId="80">
    <w:name w:val="font10"/>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81">
    <w:name w:val="font11"/>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82">
    <w:name w:val="font12"/>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8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8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9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92">
    <w:name w:val="xl9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9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0"/>
      <w:szCs w:val="20"/>
    </w:rPr>
  </w:style>
  <w:style w:type="paragraph" w:customStyle="1" w:styleId="9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1188419e-42fe-406f-bbb8-1064f2715941</errorID>
      <errorWord>脱贫成果</errorWord>
      <group>L1_Political</group>
      <groupName>政治性问题</groupName>
      <ability>L2_Unpolitical</ability>
      <abilityName>政治敏感错误</abilityName>
      <candidateList>
        <item>脱贫攻坚成果</item>
      </candidateList>
      <explain/>
      <paraID>3D9EFB5F</paraID>
      <start>197</start>
      <end>203</end>
      <status>modified</status>
      <modifiedWord>脱贫攻坚成果</modifiedWord>
      <trackRevisions>false</trackRevisions>
    </reviewItem>
    <reviewItem>
      <errorID>7697f83f-19a1-480e-8cbf-6cf5e1948b6f</errorID>
      <errorWord>十四五规划</errorWord>
      <group>L1_Political</group>
      <groupName>政治性问题</groupName>
      <ability>L2_Keyword</ability>
      <abilityName>固定表述</abilityName>
      <candidateList>
        <item>“十四五”规划</item>
      </candidateList>
      <explain>注意检查当前固定表述标点是否使用规范。</explain>
      <paraID> FF216EA</paraID>
      <start>51</start>
      <end>58</end>
      <status>modified</status>
      <modifiedWord>“十四五”规划</modifiedWord>
      <trackRevisions>false</trackRevisions>
    </reviewItem>
    <reviewItem>
      <errorID>c6257827-9a9a-4011-9ad6-33bd3ba4d590</errorID>
      <errorWord>昌都总</errorWord>
      <group>L1_Word</group>
      <groupName>字词问题</groupName>
      <ability>L2_Typo</ability>
      <abilityName>字词错误</abilityName>
      <candidateList>
        <item>昌都</item>
      </candidateList>
      <explain/>
      <paraID>555A7C5A</paraID>
      <start>0</start>
      <end>2</end>
      <status>modified</status>
      <modifiedWord>昌都</modifiedWord>
      <trackRevisions>false</trackRevisions>
    </reviewItem>
    <reviewItem>
      <errorID>8f4887a0-efac-48b9-82d1-c64431bf4e58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555A7C5A</paraID>
      <start>145</start>
      <end>146</end>
      <status>modified</status>
      <modifiedWord>—</modifiedWord>
      <trackRevisions>false</trackRevisions>
    </reviewItem>
    <reviewItem>
      <errorID>2b5572a8-1664-4a6a-8cc6-f55694d573cd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555A7C5A</paraID>
      <start>182</start>
      <end>183</end>
      <status>modified</status>
      <modifiedWord>—</modifiedWord>
      <trackRevisions>false</trackRevisions>
    </reviewItem>
    <reviewItem>
      <errorID>01019184-e6e0-4a84-b7d1-addc2308d650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469774CC</paraID>
      <start>110</start>
      <end>111</end>
      <status>modified</status>
      <modifiedWord>—</modifiedWord>
      <trackRevisions>false</trackRevisions>
    </reviewItem>
    <reviewItem>
      <errorID>4e46156e-54b8-4402-a51c-ef8159c2864d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37056A89</paraID>
      <start>91</start>
      <end>92</end>
      <status>modified</status>
      <modifiedWord>—</modifiedWord>
      <trackRevisions>false</trackRevisions>
    </reviewItem>
    <reviewItem>
      <errorID>cecf2e48-4a7f-4429-8919-cfad90cb6aef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37056A89</paraID>
      <start>168</start>
      <end>169</end>
      <status>modified</status>
      <modifiedWord>—</modifiedWord>
      <trackRevisions>false</trackRevisions>
    </reviewItem>
    <reviewItem>
      <errorID>dd883dc3-edc0-4714-8db3-f84c14c8121a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37056A89</paraID>
      <start>239</start>
      <end>240</end>
      <status>modified</status>
      <modifiedWord>—</modifiedWord>
      <trackRevisions>false</trackRevisions>
    </reviewItem>
    <reviewItem>
      <errorID>a4ff392d-4a02-4d60-9f3d-74d9024e891a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37056A89</paraID>
      <start>269</start>
      <end>270</end>
      <status>modified</status>
      <modifiedWord>—</modifiedWord>
      <trackRevisions>false</trackRevisions>
    </reviewItem>
    <reviewItem>
      <errorID>1c395566-eae8-464b-9004-10eb46915080</errorID>
      <errorWord>78-90％</errorWord>
      <group>L1_Knowledge</group>
      <groupName>知识性问题</groupName>
      <ability>L2_Knowledge</ability>
      <abilityName>其他知识</abilityName>
      <candidateList>
        <item>78％—90％</item>
      </candidateList>
      <explain>1. “78-90％”中的单位“％”仅出现在后一个数字上，容易引起歧义；根据《现代汉语标点符号数字用法规范手册》，数字表示范围两边需要使用统一的格式。2. 根据标点国标 4.13 中的规则，数字、时间或地域连接符应使用（视觉上更长的）“—”或“～”。</explain>
      <paraID>37056A89</paraID>
      <start>277</start>
      <end>284</end>
      <status>modified</status>
      <modifiedWord>78％—90％</modifiedWord>
      <trackRevisions>false</trackRevisions>
    </reviewItem>
    <reviewItem>
      <errorID>14c3beac-21b7-4d24-8ae0-1666e2f35eb9</errorID>
      <errorWord>怒江在</errorWord>
      <group>L1_Word</group>
      <groupName>字词问题</groupName>
      <ability>L2_Typo</ability>
      <abilityName>字词错误</abilityName>
      <candidateList>
        <item>怒江</item>
      </candidateList>
      <explain/>
      <paraID>2386C098</paraID>
      <start>79</start>
      <end>81</end>
      <status>modified</status>
      <modifiedWord>怒江</modifiedWord>
      <trackRevisions>false</trackRevisions>
    </reviewItem>
    <reviewItem>
      <errorID>c1e81c15-afc4-498c-bc5b-cdb4a92d88ea</errorID>
      <errorWord>在与</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48B14E26</paraID>
      <start>106</start>
      <end>107</end>
      <status>modified</status>
      <modifiedWord>在</modifiedWord>
      <trackRevisions>false</trackRevisions>
    </reviewItem>
    <reviewItem>
      <errorID>41956c61-393c-425d-8af4-929a350241c5</errorID>
      <errorWord>海拔高度</errorWord>
      <group>L1_Word</group>
      <groupName>字词问题</groupName>
      <ability>L2_Typo</ability>
      <abilityName>字词错误</abilityName>
      <candidateList>
        <item>海拔</item>
      </candidateList>
      <explain>〈名〉从平均海平面起算的高度。</explain>
      <paraID>23F1CDC9</paraID>
      <start>40</start>
      <end>42</end>
      <status>modified</status>
      <modifiedWord>海拔</modifiedWord>
      <trackRevisions>false</trackRevisions>
    </reviewItem>
    <reviewItem>
      <errorID>2a95c5f2-07a8-4fa3-b417-488ea5ee4522</errorID>
      <errorWord>海拔高度</errorWord>
      <group>L1_Word</group>
      <groupName>字词问题</groupName>
      <ability>L2_Typo</ability>
      <abilityName>字词错误</abilityName>
      <candidateList>
        <item>海拔</item>
      </candidateList>
      <explain>〈名〉从平均海平面起算的高度。</explain>
      <paraID>23F1CDC9</paraID>
      <start>58</start>
      <end>60</end>
      <status>modified</status>
      <modifiedWord>海拔</modifiedWord>
      <trackRevisions>false</trackRevisions>
    </reviewItem>
    <reviewItem>
      <errorID>c17584b2-9e06-430d-9937-9857b2a98671</errorID>
      <errorWord>截止</errorWord>
      <group>L1_Word</group>
      <groupName>字词问题</groupName>
      <ability>L2_Typo</ability>
      <abilityName>字词错误</abilityName>
      <candidateList>
        <item>截至</item>
      </candidateList>
      <explain>存在发音相同字词的误用。</explain>
      <paraID>710B436B</paraID>
      <start>0</start>
      <end>2</end>
      <status>modified</status>
      <modifiedWord>截至</modifiedWord>
      <trackRevisions>false</trackRevisions>
    </reviewItem>
    <reviewItem>
      <errorID>e0fb091c-ac45-4480-844a-e9ab5f65605e</errorID>
      <errorWord>一、二、三产业</errorWord>
      <group>L1_Punc</group>
      <groupName>标点问题</groupName>
      <ability>L2_Punc</ability>
      <abilityName>标点符号检查</abilityName>
      <candidateList>
        <item>一二三产业</item>
      </candidateList>
      <explain/>
      <paraID>4D5ED9D5</paraID>
      <start>91</start>
      <end>96</end>
      <status>modified</status>
      <modifiedWord>一二三产业</modifiedWord>
      <trackRevisions>false</trackRevisions>
    </reviewItem>
    <reviewItem>
      <errorID>3d097e29-dc8e-4165-b12e-de334dc4e6af</errorID>
      <errorWord>截止</errorWord>
      <group>L1_Word</group>
      <groupName>字词问题</groupName>
      <ability>L2_Typo</ability>
      <abilityName>字词错误</abilityName>
      <candidateList>
        <item>截至</item>
      </candidateList>
      <explain>存在发音相同字词的误用。</explain>
      <paraID>78CB948B</paraID>
      <start>0</start>
      <end>2</end>
      <status>modified</status>
      <modifiedWord>截至</modifiedWord>
      <trackRevisions>false</trackRevisions>
    </reviewItem>
    <reviewItem>
      <errorID>5e9f50ce-0188-4803-b5ed-31a5e007b0f1</errorID>
      <errorWord>》</errorWord>
      <group>L1_Word</group>
      <groupName>字词问题</groupName>
      <ability>L2_Typo</ability>
      <abilityName>字词错误</abilityName>
      <candidateList>
        <item>》等</item>
      </candidateList>
      <explain/>
      <paraID>52527A24</paraID>
      <start>525</start>
      <end>527</end>
      <status>modified</status>
      <modifiedWord>》等</modifiedWord>
      <trackRevisions>false</trackRevisions>
    </reviewItem>
    <reviewItem>
      <errorID>75faf7c7-0577-4b8b-9aee-266e1c279655</errorID>
      <errorWord>减小</errorWord>
      <group>L1_Word</group>
      <groupName>字词问题</groupName>
      <ability>L2_Typo</ability>
      <abilityName>字词错误</abilityName>
      <candidateList>
        <item>减轻</item>
      </candidateList>
      <explain>“减小～负担”搭配不当，建议修改为“减轻～负担”。</explain>
      <paraID> 6EA0AC1</paraID>
      <start>98</start>
      <end>100</end>
      <status>modified</status>
      <modifiedWord>减轻</modifiedWord>
      <trackRevisions>false</trackRevisions>
    </reviewItem>
    <reviewItem>
      <errorID>a82f4cdf-119b-4624-a103-bdd30a9a6266</errorID>
      <errorWord>，</errorWord>
      <group>L1_Word</group>
      <groupName>字词问题</groupName>
      <ability>L2_Typo</ability>
      <abilityName>字词错误</abilityName>
      <candidateList>
        <item>，在</item>
      </candidateList>
      <explain/>
      <paraID>7DF881BA</paraID>
      <start>72</start>
      <end>74</end>
      <status>modified</status>
      <modifiedWord>，在</modifiedWord>
      <trackRevisions>false</trackRevisions>
    </reviewItem>
    <reviewItem>
      <errorID>8824d676-dcb0-4914-a5e6-ad3f928ec5be</errorID>
      <errorWord>法律、法规</errorWord>
      <group>L1_Word</group>
      <groupName>字词问题</groupName>
      <ability>L2_Typo</ability>
      <abilityName>字词错误</abilityName>
      <candidateList>
        <item>法律法规</item>
      </candidateList>
      <explain/>
      <paraID>14577365</paraID>
      <start>178</start>
      <end>182</end>
      <status>modified</status>
      <modifiedWord>法律法规</modifiedWord>
      <trackRevisions>false</trackRevisions>
    </reviewItem>
    <reviewItem>
      <errorID>b0982a9d-9653-47a6-9983-be5cc4a48a05</errorID>
      <errorWord>存</errorWord>
      <group>L1_Word</group>
      <groupName>字词问题</groupName>
      <ability>L2_Typo</ability>
      <abilityName>字词错误</abilityName>
      <candidateList>
        <item>存在</item>
      </candidateList>
      <explain/>
      <paraID>7940DF0D</paraID>
      <start>85</start>
      <end>87</end>
      <status>modified</status>
      <modifiedWord>存在</modifiedWord>
      <trackRevisions>false</trackRevisions>
    </reviewItem>
    <reviewItem>
      <errorID>c746b369-ff7c-4a5c-9c3b-6a596c5840fc</errorID>
      <errorWord>党中央国务院</errorWord>
      <group>L1_Political</group>
      <groupName>政治性问题</groupName>
      <ability>L2_Keyword</ability>
      <abilityName>固定表述</abilityName>
      <candidateList>
        <item>党中央、国务院</item>
      </candidateList>
      <explain>注意检查当前固定表述标点是否使用规范。</explain>
      <paraID>4BF3F451</paraID>
      <start>31</start>
      <end>38</end>
      <status>modified</status>
      <modifiedWord>党中央、国务院</modifiedWord>
      <trackRevisions>false</trackRevisions>
    </reviewItem>
    <reviewItem>
      <errorID>2d7fe22c-edcb-4a27-b351-085964c7d046</errorID>
      <errorWord>山水林田湖草沙冰一体化保护和系统治理</errorWord>
      <group>L1_Political</group>
      <groupName>政治性问题</groupName>
      <ability>L2_Keyword</ability>
      <abilityName>固定表述</abilityName>
      <candidateList>
        <item>山水林田湖草沙一体化保护和系统治理</item>
      </candidateList>
      <explain>词汇“山水林田湖草沙一体化保护和系统治理”在特定场景下为固定表述形式，请确认此处的“山水林田湖草沙冰一体化保护和系统治理”是否存在不当。</explain>
      <paraID>4BF3F451</paraID>
      <start>342</start>
      <end>359</end>
      <status>modified</status>
      <modifiedWord>山水林田湖草沙一体化保护和系统治理</modifiedWord>
      <trackRevisions>false</trackRevisions>
    </reviewItem>
    <reviewItem>
      <errorID>e137366f-e476-4316-8dbd-1879e04b9385</errorID>
      <errorWord>防灾抗灾救灾能力</errorWord>
      <group>L1_Political</group>
      <groupName>政治性问题</groupName>
      <ability>L2_Keyword</ability>
      <abilityName>固定表述</abilityName>
      <candidateList>
        <item>防灾减灾救灾能力</item>
      </candidateList>
      <explain>词汇“防灾减灾救灾能力”在特定场景下为固定表述形式，请确认此处的“防灾抗灾救灾能力”是否存在不当。</explain>
      <paraID>2CE30CA4</paraID>
      <start>254</start>
      <end>262</end>
      <status>modified</status>
      <modifiedWord>防灾减灾救灾能力</modifiedWord>
      <trackRevisions>false</trackRevisions>
    </reviewItem>
    <reviewItem>
      <errorID>431feeda-6551-4515-8129-a917178556a0</errorID>
      <errorWord>管理与</errorWord>
      <group>L1_Word</group>
      <groupName>字词问题</groupName>
      <ability>L2_Typo</ability>
      <abilityName>字词错误</abilityName>
      <candidateList>
        <item>管理</item>
      </candidateList>
      <explain>〈动〉❶负责某项工作使顺利进行：～财务｜～国家大事。❷保管和料理：～图书｜公园～处。❸照管并约束（人或动物）：～罪犯｜～牲口。</explain>
      <paraID> 1E2FA4E</paraID>
      <start>4</start>
      <end>6</end>
      <status>modified</status>
      <modifiedWord>管理</modifiedWord>
      <trackRevisions>false</trackRevisions>
    </reviewItem>
    <reviewItem>
      <errorID>f54ad02f-03f1-4c25-ae9b-e90aa0be150f</errorID>
      <errorWord>[&gt;</errorWord>
      <group>L1_Punc</group>
      <groupName>标点问题</groupName>
      <ability>L2_Punc</ability>
      <abilityName>标点符号检查</abilityName>
      <candidateList>
        <item>[</item>
      </candidateList>
      <explain/>
      <paraID>15ABD64F</paraID>
      <start>0</start>
      <end>1</end>
      <status>modified</status>
      <modifiedWord>[</modifiedWord>
      <trackRevisions>false</trackRevisions>
    </reviewItem>
    <reviewItem>
      <errorID>507107cf-f9ef-4a7a-96d0-28592f7691e1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7DA79019</paraID>
      <start>314</start>
      <end>315</end>
      <status>modified</status>
      <modifiedWord>—</modifiedWord>
      <trackRevisions>false</trackRevisions>
    </reviewItem>
    <reviewItem>
      <errorID>2375a8eb-f429-4f84-b429-47b3f2eb0963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3E333770</paraID>
      <start>135</start>
      <end>136</end>
      <status>modified</status>
      <modifiedWord>—</modifiedWord>
      <trackRevisions>false</trackRevisions>
    </reviewItem>
    <reviewItem>
      <errorID>63ccc9fe-5e55-4da9-a443-e8a54d5561cc</errorID>
      <errorWord>娘西</errorWord>
      <group>L1_Word</group>
      <groupName>字词问题</groupName>
      <ability>L2_Typo</ability>
      <abilityName>字词错误</abilityName>
      <candidateList>
        <item>江西</item>
      </candidateList>
      <explain/>
      <paraID>1219C38E</paraID>
      <start>126</start>
      <end>128</end>
      <status>modified</status>
      <modifiedWord>江西</modifiedWord>
      <trackRevisions>false</trackRevisions>
    </reviewItem>
    <reviewItem>
      <errorID>d63b64e3-2f75-4bb1-98ce-b67dd3b67e93</errorID>
      <errorWord>巴</errorWord>
      <group>L1_Word</group>
      <groupName>字词问题</groupName>
      <ability>L2_Typo</ability>
      <abilityName>字词错误</abilityName>
      <candidateList>
        <item>坝</item>
      </candidateList>
      <explain/>
      <paraID>1219C38E</paraID>
      <start>319</start>
      <end>320</end>
      <status>modified</status>
      <modifiedWord>坝</modifiedWord>
      <trackRevisions>false</trackRevisions>
    </reviewItem>
    <reviewItem>
      <errorID>e37b8a99-3474-4e71-82b2-f45f2d9f515a</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47CBACB6</paraID>
      <start>180</start>
      <end>186</end>
      <status>modified</status>
      <modifiedWord>农业面源污染</modifiedWord>
      <trackRevisions>false</trackRevisions>
    </reviewItem>
    <reviewItem>
      <errorID>eed39e88-fa3b-48a3-a3ae-54ca7e0f2b25</errorID>
      <errorWord>种草</errorWord>
      <group>L1_Official</group>
      <groupName>公文问题</groupName>
      <ability>L2_Official</ability>
      <abilityName>公文问题</abilityName>
      <candidateList/>
      <explain>公文中禁止出现该词语</explain>
      <paraID>5CEECCFE</paraID>
      <start>160</start>
      <end>162</end>
      <status>ignored</status>
      <modifiedWord/>
      <trackRevisions>false</trackRevisions>
    </reviewItem>
    <reviewItem>
      <errorID>752d009b-8c77-41e6-8c2f-2ee1cf28f61b</errorID>
      <errorWord>安全感、幸福感、获得感</errorWord>
      <group>L1_Political</group>
      <groupName>政治性问题</groupName>
      <ability>L2_Unpolitical</ability>
      <abilityName>政治敏感错误</abilityName>
      <candidateList>
        <item>获得感、幸福感、安全感</item>
      </candidateList>
      <explain/>
      <paraID>77B777B7</paraID>
      <start>173</start>
      <end>184</end>
      <status>modified</status>
      <modifiedWord>获得感、幸福感、安全感</modifiedWord>
      <trackRevisions>false</trackRevisions>
    </reviewItem>
    <reviewItem>
      <errorID>beee7858-8d15-491d-834d-cf252a2c430e</errorID>
      <errorWord>护</errorWord>
      <group>L1_Word</group>
      <groupName>字词问题</groupName>
      <ability>L2_Typo</ability>
      <abilityName>字词错误</abilityName>
      <candidateList>
        <item>护和</item>
      </candidateList>
      <explain/>
      <paraID>5D99038E</paraID>
      <start>7</start>
      <end>9</end>
      <status>modified</status>
      <modifiedWord>护和</modifiedWord>
      <trackRevisions>false</trackRevisions>
    </reviewItem>
    <reviewItem>
      <errorID>3a8ed458-fe20-40bc-8f2c-9819a73ecd01</errorID>
      <errorWord>、</errorWord>
      <group>L1_Word</group>
      <groupName>字词问题</groupName>
      <ability>L2_Typo</ability>
      <abilityName>字词错误</abilityName>
      <candidateList>
        <item>、以</item>
      </candidateList>
      <explain/>
      <paraID>3AFBE7B8</paraID>
      <start>35</start>
      <end>37</end>
      <status>modified</status>
      <modifiedWord>、以</modifiedWord>
      <trackRevisions>false</trackRevisions>
    </reviewItem>
    <reviewItem>
      <errorID>85bf0f2e-0adc-4bfb-bda5-bac4860a6a3d</errorID>
      <errorWord>多源化</errorWord>
      <group>L1_Word</group>
      <groupName>字词问题</groupName>
      <ability>L2_Typo</ability>
      <abilityName>字词错误</abilityName>
      <candidateList>
        <item>多元化</item>
      </candidateList>
      <explain/>
      <paraID>66A4A2EC</paraID>
      <start>54</start>
      <end>57</end>
      <status>modified</status>
      <modifiedWord>多元化</modifiedWord>
      <trackRevisions>false</trackRevisions>
    </reviewItem>
    <reviewItem>
      <errorID>1b1dfbcb-1dab-4069-9cc6-af9cdedfb365</errorID>
      <errorWord>细</errorWord>
      <group>L1_Word</group>
      <groupName>字词问题</groupName>
      <ability>L2_Typo</ability>
      <abilityName>字词错误</abilityName>
      <candidateList>
        <item>细化</item>
      </candidateList>
      <explain/>
      <paraID> 8635F45</paraID>
      <start>101</start>
      <end>103</end>
      <status>modified</status>
      <modifiedWord>细化</modifiedWord>
      <trackRevisions>false</trackRevisions>
    </reviewItem>
    <reviewItem>
      <errorID>862170ff-1b4a-4b0f-af16-636472890750</errorID>
      <errorWord>社会主义思想教育</errorWord>
      <group>L1_Political</group>
      <groupName>政治性问题</groupName>
      <ability>L2_Unpolitical</ability>
      <abilityName>政治敏感错误</abilityName>
      <candidateList>
        <item>社会主义思想主题教育</item>
      </candidateList>
      <explain/>
      <paraID>25E12DBD</paraID>
      <start>11</start>
      <end>21</end>
      <status>modified</status>
      <modifiedWord>社会主义思想主题教育</modifiedWord>
      <trackRevisions>false</trackRevisions>
    </reviewItem>
    <reviewItem>
      <errorID>f2310844-26d0-475d-8a58-9f3dd00c2dd3</errorID>
      <errorWord>性</errorWord>
      <group>L1_Word</group>
      <groupName>字词问题</groupName>
      <ability>L2_Typo</ability>
      <abilityName>字词错误</abilityName>
      <candidateList>
        <item>性和</item>
      </candidateList>
      <explain/>
      <paraID>25E12DBD</paraID>
      <start>61</start>
      <end>63</end>
      <status>modified</status>
      <modifiedWord>性和</modifiedWord>
      <trackRevisions>false</trackRevisions>
    </reviewItem>
    <reviewItem>
      <errorID>d386083a-706c-42e8-86c9-73037b0fa03f</errorID>
      <errorWord>主要建设任务为以供水为主</errorWord>
      <group>L1_Word</group>
      <groupName>字词问题</groupName>
      <ability>L2_Typo</ability>
      <abilityName>字词错误</abilityName>
      <candidateList>
        <item>建设任务为以供水为主</item>
      </candidateList>
      <explain/>
      <paraID>4368BB33</paraID>
      <start>35</start>
      <end>45</end>
      <status>modified</status>
      <modifiedWord>建设任务为以供水为主</modifiedWord>
      <trackRevisions>false</trackRevisions>
    </reviewItem>
    <reviewItem>
      <errorID>71543f6c-e55e-4140-8fd1-a62aa3a38719</errorID>
      <errorWord>亿千万时</errorWord>
      <group>L1_Word</group>
      <groupName>字词问题</groupName>
      <ability>L2_Typo</ability>
      <abilityName>字词错误</abilityName>
      <candidateList>
        <item>亿千瓦时</item>
      </candidateList>
      <explain/>
      <paraID>506674C3</paraID>
      <start>191</start>
      <end>195</end>
      <status>modified</status>
      <modifiedWord>亿千瓦时</modifiedWord>
      <trackRevisions>false</trackRevisions>
    </reviewItem>
    <reviewItem>
      <errorID>f1a8eee8-4970-4f32-979a-67dbd28fc5ee</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163D7CC1</paraID>
      <start>27</start>
      <end>34</end>
      <status>modified</status>
      <modifiedWord>“十四五”期间</modifiedWord>
      <trackRevisions>false</trackRevisions>
    </reviewItem>
    <reviewItem>
      <errorID>4888c258-20e5-4f40-addb-9f10bf6e14f3</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7C34B85C</paraID>
      <start>85</start>
      <end>91</end>
      <status>modified</status>
      <modifiedWord>农业面源污染</modifiedWord>
      <trackRevisions>false</trackRevisions>
    </reviewItem>
    <reviewItem>
      <errorID>38458144-6098-4f0e-8f50-b603924f1889</errorID>
      <errorWord>既</errorWord>
      <group>L1_Word</group>
      <groupName>字词问题</groupName>
      <ability>L2_Typo</ability>
      <abilityName>字词错误</abilityName>
      <candidateList>
        <item>既有</item>
      </candidateList>
      <explain/>
      <paraID>2FA66EDE</paraID>
      <start>139</start>
      <end>141</end>
      <status>modified</status>
      <modifiedWord>既有</modifiedWord>
      <trackRevisions>false</trackRevisions>
    </reviewItem>
    <reviewItem>
      <errorID>0c3ca1ec-3111-4b8e-bc6d-d4ab65ac8fb8</errorID>
      <errorWord>预发</errorWord>
      <group>L1_Word</group>
      <groupName>字词问题</groupName>
      <ability>L2_Typo</ability>
      <abilityName>字词错误</abilityName>
      <candidateList>
        <item>易发</item>
      </candidateList>
      <explain>存在发音相近字词的误用。</explain>
      <paraID>2FA66EDE</paraID>
      <start>215</start>
      <end>217</end>
      <status>modified</status>
      <modifiedWord>易发</modifiedWord>
      <trackRevisions>false</trackRevisions>
    </reviewItem>
    <reviewItem>
      <errorID>4089da92-a897-4411-ad98-56f3527fe8d9</errorID>
      <errorWord>护</errorWord>
      <group>L1_Word</group>
      <groupName>字词问题</groupName>
      <ability>L2_Typo</ability>
      <abilityName>字词错误</abilityName>
      <candidateList>
        <item>护和</item>
      </candidateList>
      <explain/>
      <paraID>56FF375A</paraID>
      <start>13</start>
      <end>15</end>
      <status>modified</status>
      <modifiedWord>护和</modifiedWord>
      <trackRevisions>false</trackRevisions>
    </reviewItem>
    <reviewItem>
      <errorID>eb01fd69-d6e9-4fdc-a0b0-863c4bfafc7f</errorID>
      <errorWord>，</errorWord>
      <group>L1_Word</group>
      <groupName>字词问题</groupName>
      <ability>L2_Typo</ability>
      <abilityName>字词错误</abilityName>
      <candidateList>
        <item>，把</item>
      </candidateList>
      <explain/>
      <paraID>5D788919</paraID>
      <start>119</start>
      <end>121</end>
      <status>modified</status>
      <modifiedWord>，把</modifiedWord>
      <trackRevisions>false</trackRevisions>
    </reviewItem>
    <reviewItem>
      <errorID>9a71f031-6d0f-4d1c-b335-da3a65be0c56</errorID>
      <errorWord>政府均</errorWord>
      <group>L1_Word</group>
      <groupName>字词问题</groupName>
      <ability>L2_Typo</ability>
      <abilityName>字词错误</abilityName>
      <candidateList>
        <item>政府</item>
      </candidateList>
      <explain/>
      <paraID>1FB56C05</paraID>
      <start>9</start>
      <end>11</end>
      <status>modified</status>
      <modifiedWord>政府</modifiedWord>
      <trackRevisions>false</trackRevisions>
    </reviewItem>
    <reviewItem>
      <errorID>0fb267a0-b701-4fbb-99cd-ed42edcfe315</errorID>
      <errorWord>工作</errorWord>
      <group>L1_Word</group>
      <groupName>字词问题</groupName>
      <ability>L2_Typo</ability>
      <abilityName>字词错误</abilityName>
      <candidateList>
        <item>工程</item>
      </candidateList>
      <explain/>
      <paraID>1B693D72</paraID>
      <start>102</start>
      <end>104</end>
      <status>modified</status>
      <modifiedWord>工程</modifiedWord>
      <trackRevisions>false</trackRevisions>
    </reviewItem>
    <reviewItem>
      <errorID>be5c33c4-5936-4a3a-b62a-ae220500f72d</errorID>
      <errorWord>提高</errorWord>
      <group>L1_Word</group>
      <groupName>字词问题</groupName>
      <ability>L2_Typo</ability>
      <abilityName>字词错误</abilityName>
      <candidateList>
        <item>增强</item>
      </candidateList>
      <explain>“提高～意识”搭配不当，建议修改为“增强～意识”。</explain>
      <paraID>3053153F</paraID>
      <start>45</start>
      <end>47</end>
      <status>modified</status>
      <modifiedWord>增强</modifiedWord>
      <trackRevisions>false</trackRevisions>
    </reviewItem>
    <reviewItem>
      <errorID>af31e086-5df4-4888-8f86-536c06bea8b3</errorID>
      <errorWord>护</errorWord>
      <group>L1_Word</group>
      <groupName>字词问题</groupName>
      <ability>L2_Typo</ability>
      <abilityName>字词错误</abilityName>
      <candidateList>
        <item>护和</item>
      </candidateList>
      <explain/>
      <paraID>56F84E84</paraID>
      <start>5</start>
      <end>7</end>
      <status>modified</status>
      <modifiedWord>护和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423d22-78d6-493a-a368-d4c5ff0a2c63}">
  <ds:schemaRefs/>
</ds:datastoreItem>
</file>

<file path=docProps/app.xml><?xml version="1.0" encoding="utf-8"?>
<Properties xmlns="http://schemas.openxmlformats.org/officeDocument/2006/extended-properties" xmlns:vt="http://schemas.openxmlformats.org/officeDocument/2006/docPropsVTypes">
  <Template>Normal</Template>
  <Pages>66</Pages>
  <Words>29884</Words>
  <Characters>32600</Characters>
  <Lines>264</Lines>
  <Paragraphs>74</Paragraphs>
  <TotalTime>0</TotalTime>
  <ScaleCrop>false</ScaleCrop>
  <LinksUpToDate>false</LinksUpToDate>
  <CharactersWithSpaces>32809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2021-07-28T01:23:00Z</dcterms:created>
  <dc:creator>815351497@qq.com</dc:creator>
  <cp:lastModifiedBy>® ZD</cp:lastModifiedBy>
  <cp:lastPrinted>2023-05-15T09:13:00Z</cp:lastPrinted>
  <dcterms:modified xsi:type="dcterms:W3CDTF">2026-01-06T08:24:32Z</dcterms:modified>
  <cp:revision>225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506373E7F021444EB701B3791C702F25</vt:lpwstr>
  </property>
  <property fmtid="{D5CDD505-2E9C-101B-9397-08002B2CF9AE}" pid="4" name="KSOTemplateDocerSaveRecord">
    <vt:lpwstr>eyJoZGlkIjoiZTRiOGZhZTE5Yjk3OGY1NWUwZDAzMWExZDVjMjUyYTgiLCJ1c2VySWQiOiIyNzMyMTI4MDkifQ==</vt:lpwstr>
  </property>
</Properties>
</file>